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D8310F">
            <w:pPr>
              <w:pStyle w:val="Header"/>
              <w:spacing w:line="360" w:lineRule="auto"/>
              <w:ind w:left="-249"/>
            </w:pPr>
            <w:r>
              <w:rPr>
                <w:lang w:val="sr-Cyrl-BA"/>
              </w:rPr>
              <w:t xml:space="preserve">ББрој: </w:t>
            </w:r>
            <w:r w:rsidR="00E24FCF">
              <w:t>404-</w:t>
            </w:r>
            <w:r w:rsidR="00DE14F1">
              <w:t>89</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E14F1" w:rsidP="0032571E">
            <w:pPr>
              <w:pStyle w:val="Header"/>
              <w:spacing w:line="360" w:lineRule="auto"/>
              <w:ind w:left="-108"/>
              <w:jc w:val="both"/>
              <w:rPr>
                <w:lang w:val="sr-Cyrl-BA"/>
              </w:rPr>
            </w:pPr>
            <w:r>
              <w:t>11.05</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DE14F1"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DE14F1">
        <w:rPr>
          <w:rFonts w:eastAsia="Arial Unicode MS"/>
          <w:b/>
          <w:bCs/>
          <w:iCs/>
          <w:color w:val="000000"/>
          <w:kern w:val="1"/>
          <w:sz w:val="28"/>
          <w:szCs w:val="28"/>
          <w:lang w:eastAsia="ar-SA"/>
        </w:rPr>
        <w:t>МОКРА ГОРА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E14F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E14F1">
        <w:rPr>
          <w:rFonts w:eastAsia="Arial Unicode MS"/>
          <w:color w:val="000000"/>
          <w:kern w:val="1"/>
          <w:lang w:eastAsia="ar-SA"/>
        </w:rPr>
        <w:t>89</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DE14F1">
        <w:rPr>
          <w:rFonts w:eastAsia="Arial Unicode MS"/>
          <w:color w:val="000000"/>
          <w:kern w:val="1"/>
          <w:lang w:eastAsia="ar-SA"/>
        </w:rPr>
        <w:t>11.05</w:t>
      </w:r>
      <w:r w:rsidR="00D8310F">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E14F1"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DE14F1">
        <w:rPr>
          <w:rFonts w:eastAsia="Arial Unicode MS"/>
          <w:b/>
          <w:bCs/>
          <w:color w:val="000000"/>
          <w:kern w:val="1"/>
          <w:lang w:eastAsia="ar-SA"/>
        </w:rPr>
        <w:t>Мокра Гора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C1963"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E1655A">
        <w:rPr>
          <w:rFonts w:eastAsia="TimesNewRomanPSMT"/>
          <w:kern w:val="1"/>
          <w:lang w:val="sr-Cyrl-CS" w:eastAsia="ar-SA"/>
        </w:rPr>
        <w:t>3</w:t>
      </w:r>
      <w:r w:rsidR="007C1963">
        <w:rPr>
          <w:rFonts w:eastAsia="TimesNewRomanPSMT"/>
          <w:kern w:val="1"/>
          <w:lang w:eastAsia="ar-SA"/>
        </w:rPr>
        <w:t>4</w:t>
      </w:r>
      <w:r w:rsidR="00492D7A" w:rsidRPr="00E1655A">
        <w:rPr>
          <w:rFonts w:eastAsia="TimesNewRomanPSMT"/>
          <w:kern w:val="1"/>
          <w:lang w:val="sr-Cyrl-CS" w:eastAsia="ar-SA"/>
        </w:rPr>
        <w:t xml:space="preserve"> стране</w:t>
      </w:r>
      <w:r w:rsidRPr="00E1655A">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E14F1">
        <w:rPr>
          <w:rFonts w:eastAsia="Arial Unicode MS"/>
          <w:color w:val="000000"/>
          <w:kern w:val="1"/>
          <w:lang w:eastAsia="ar-SA"/>
        </w:rPr>
        <w:t>89</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DE14F1">
        <w:rPr>
          <w:rFonts w:eastAsia="TimesNewRomanPS-BoldMT"/>
          <w:bCs/>
          <w:color w:val="000000"/>
          <w:kern w:val="1"/>
          <w:lang w:val="sr-Cyrl-CS" w:eastAsia="ar-SA"/>
        </w:rPr>
        <w:t>Мокра Гора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E14F1"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DE14F1">
        <w:rPr>
          <w:rFonts w:eastAsia="Arial Unicode MS"/>
          <w:b/>
          <w:color w:val="000000"/>
          <w:kern w:val="1"/>
          <w:sz w:val="28"/>
          <w:szCs w:val="28"/>
          <w:lang w:eastAsia="ar-SA"/>
        </w:rPr>
        <w:t>МОКРА ГОРА</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DE14F1">
        <w:rPr>
          <w:noProof/>
        </w:rPr>
        <w:t>Мокра Гора</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00125E">
        <w:rPr>
          <w:noProof/>
        </w:rPr>
        <w:t xml:space="preserve"> </w:t>
      </w:r>
      <w:r w:rsidR="00DE14F1">
        <w:rPr>
          <w:noProof/>
        </w:rPr>
        <w:t>Пут за Миловановиће, л = 90</w:t>
      </w:r>
      <w:r w:rsidR="00D8310F">
        <w:rPr>
          <w:noProof/>
        </w:rPr>
        <w:t>м</w:t>
      </w:r>
      <w:r>
        <w:rPr>
          <w:noProof/>
        </w:rPr>
        <w:t>,</w:t>
      </w:r>
    </w:p>
    <w:p w:rsidR="00635EDC" w:rsidRDefault="00EC6D32" w:rsidP="007E2D0E">
      <w:pPr>
        <w:jc w:val="both"/>
        <w:rPr>
          <w:noProof/>
        </w:rPr>
      </w:pPr>
      <w:r>
        <w:rPr>
          <w:noProof/>
        </w:rPr>
        <w:t>II</w:t>
      </w:r>
      <w:r w:rsidR="00635EDC">
        <w:rPr>
          <w:noProof/>
        </w:rPr>
        <w:t xml:space="preserve">) </w:t>
      </w:r>
      <w:r w:rsidR="0000125E">
        <w:rPr>
          <w:noProof/>
        </w:rPr>
        <w:t xml:space="preserve"> </w:t>
      </w:r>
      <w:r w:rsidR="00DE14F1">
        <w:rPr>
          <w:noProof/>
        </w:rPr>
        <w:t>Пут Жута кућа - Њиве, л = 90</w:t>
      </w:r>
      <w:r w:rsidR="00D8310F">
        <w:rPr>
          <w:noProof/>
        </w:rPr>
        <w:t>м</w:t>
      </w:r>
      <w:r>
        <w:rPr>
          <w:noProof/>
        </w:rPr>
        <w:t>,</w:t>
      </w:r>
    </w:p>
    <w:p w:rsidR="00D8310F" w:rsidRDefault="00D8310F" w:rsidP="007E2D0E">
      <w:pPr>
        <w:jc w:val="both"/>
        <w:rPr>
          <w:noProof/>
        </w:rPr>
      </w:pPr>
      <w:r>
        <w:rPr>
          <w:noProof/>
        </w:rPr>
        <w:t>III)</w:t>
      </w:r>
      <w:r w:rsidR="0000125E">
        <w:rPr>
          <w:noProof/>
        </w:rPr>
        <w:t xml:space="preserve"> </w:t>
      </w:r>
      <w:r w:rsidR="00DE14F1">
        <w:rPr>
          <w:noProof/>
        </w:rPr>
        <w:t>Пут Котроман - Филиповићи , л = 90</w:t>
      </w:r>
      <w:r>
        <w:rPr>
          <w:noProof/>
        </w:rPr>
        <w:t>м</w:t>
      </w:r>
    </w:p>
    <w:p w:rsidR="00D8310F" w:rsidRPr="00D8310F" w:rsidRDefault="00D8310F" w:rsidP="007E2D0E">
      <w:pPr>
        <w:jc w:val="both"/>
        <w:rPr>
          <w:noProof/>
        </w:rPr>
      </w:pPr>
      <w:r>
        <w:rPr>
          <w:noProof/>
        </w:rPr>
        <w:t xml:space="preserve">IV) </w:t>
      </w:r>
      <w:r w:rsidR="00DE14F1">
        <w:rPr>
          <w:noProof/>
        </w:rPr>
        <w:t>Пут за Дионице, л = 90</w:t>
      </w:r>
      <w:r>
        <w:rPr>
          <w:noProof/>
        </w:rPr>
        <w:t>м</w:t>
      </w:r>
    </w:p>
    <w:p w:rsidR="00D8310F" w:rsidRDefault="00D8310F" w:rsidP="007E2D0E">
      <w:pPr>
        <w:jc w:val="both"/>
        <w:rPr>
          <w:noProof/>
        </w:rPr>
      </w:pPr>
      <w:r>
        <w:rPr>
          <w:noProof/>
        </w:rPr>
        <w:t>V)</w:t>
      </w:r>
      <w:r w:rsidR="0000125E">
        <w:rPr>
          <w:noProof/>
        </w:rPr>
        <w:t xml:space="preserve"> </w:t>
      </w:r>
      <w:r w:rsidR="00DE14F1">
        <w:rPr>
          <w:noProof/>
        </w:rPr>
        <w:t>Пут Арсенијевићи - Ресимићи, л = 90</w:t>
      </w:r>
      <w:r w:rsidR="00726598">
        <w:rPr>
          <w:noProof/>
        </w:rPr>
        <w:t>м</w:t>
      </w:r>
    </w:p>
    <w:p w:rsidR="00DE14F1" w:rsidRPr="00DE14F1" w:rsidRDefault="00DE14F1" w:rsidP="007E2D0E">
      <w:pPr>
        <w:jc w:val="both"/>
        <w:rPr>
          <w:noProof/>
        </w:rPr>
      </w:pPr>
      <w:r>
        <w:rPr>
          <w:noProof/>
        </w:rPr>
        <w:t>VI) Пут Цукавци – Стевићи, л = 125м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E14F1">
        <w:rPr>
          <w:rFonts w:eastAsia="Arial Unicode MS"/>
          <w:color w:val="000000"/>
          <w:kern w:val="1"/>
          <w:lang w:eastAsia="ar-SA"/>
        </w:rPr>
        <w:t>89</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DE14F1">
        <w:rPr>
          <w:rFonts w:eastAsia="TimesNewRomanPS-BoldMT"/>
          <w:bCs/>
          <w:color w:val="000000"/>
          <w:kern w:val="1"/>
          <w:lang w:val="sr-Cyrl-CS" w:eastAsia="ar-SA"/>
        </w:rPr>
        <w:t>Мокра Гора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DE14F1">
        <w:rPr>
          <w:rFonts w:eastAsia="Arial Unicode MS"/>
          <w:color w:val="000000"/>
          <w:kern w:val="1"/>
          <w:lang w:eastAsia="ar-SA"/>
        </w:rPr>
        <w:t>89</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DE14F1">
        <w:rPr>
          <w:rFonts w:eastAsia="TimesNewRomanPS-BoldMT"/>
          <w:bCs/>
          <w:color w:val="000000"/>
          <w:kern w:val="1"/>
          <w:lang w:val="sr-Cyrl-CS" w:eastAsia="ar-SA"/>
        </w:rPr>
        <w:t>Мокра Гора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EA7610">
        <w:rPr>
          <w:rFonts w:eastAsia="Arial Unicode MS"/>
          <w:iCs/>
          <w:color w:val="000000"/>
          <w:kern w:val="1"/>
          <w:lang w:val="sr-Cyrl-CS" w:eastAsia="ar-SA"/>
        </w:rPr>
        <w:t>Мокра Гора</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EA7610">
        <w:rPr>
          <w:rFonts w:eastAsia="Arial Unicode MS"/>
          <w:color w:val="000000"/>
          <w:kern w:val="1"/>
          <w:lang w:eastAsia="ar-SA"/>
        </w:rPr>
        <w:t>89</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EA7610">
        <w:rPr>
          <w:rFonts w:eastAsia="Arial Unicode MS"/>
          <w:iCs/>
          <w:color w:val="000000"/>
          <w:kern w:val="1"/>
          <w:lang w:val="sr-Cyrl-CS" w:eastAsia="ar-SA"/>
        </w:rPr>
        <w:t>Мокра Гора</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EA7610">
        <w:rPr>
          <w:rFonts w:eastAsia="Arial Unicode MS"/>
          <w:iCs/>
          <w:color w:val="000000"/>
          <w:kern w:val="1"/>
          <w:lang w:val="sr-Cyrl-CS" w:eastAsia="ar-SA"/>
        </w:rPr>
        <w:t>Мокра Гора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EA7610">
        <w:rPr>
          <w:color w:val="000000"/>
        </w:rPr>
        <w:t>89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EA7610">
        <w:rPr>
          <w:rFonts w:eastAsia="Arial Unicode MS"/>
          <w:iCs/>
          <w:color w:val="000000"/>
          <w:kern w:val="1"/>
          <w:lang w:val="sr-Cyrl-CS" w:eastAsia="ar-SA"/>
        </w:rPr>
        <w:t>Мокра Гора</w:t>
      </w:r>
      <w:r w:rsidR="002036D9" w:rsidRPr="00B74A92">
        <w:rPr>
          <w:color w:val="000000"/>
        </w:rPr>
        <w:t xml:space="preserve"> </w:t>
      </w:r>
      <w:r w:rsidR="002036D9" w:rsidRPr="00CF4D29">
        <w:rPr>
          <w:color w:val="000000"/>
        </w:rPr>
        <w:t xml:space="preserve">број  </w:t>
      </w:r>
      <w:r w:rsidR="002036D9">
        <w:rPr>
          <w:color w:val="000000"/>
        </w:rPr>
        <w:t>VIII 404-</w:t>
      </w:r>
      <w:r w:rsidR="00EA7610">
        <w:rPr>
          <w:color w:val="000000"/>
        </w:rPr>
        <w:t>89</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EA7610">
        <w:rPr>
          <w:rFonts w:eastAsia="Arial Unicode MS"/>
          <w:kern w:val="1"/>
          <w:lang w:eastAsia="ar-SA"/>
        </w:rPr>
        <w:t>89</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EA7610">
        <w:rPr>
          <w:rFonts w:eastAsia="Arial Unicode MS"/>
          <w:color w:val="000000"/>
          <w:kern w:val="1"/>
          <w:lang w:eastAsia="ar-SA"/>
        </w:rPr>
        <w:t>Мокра Гора</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0E6F80" w:rsidRPr="000E6F80">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1655A" w:rsidRDefault="00E1655A"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0E6F80" w:rsidP="00E27140">
      <w:r w:rsidRPr="000E6F80">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1655A" w:rsidRDefault="00E1655A"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0E6F80" w:rsidP="00E27140">
      <w:r w:rsidRPr="000E6F80">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E1655A" w:rsidRDefault="00E1655A"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0E6F80" w:rsidP="00E27140">
      <w:pPr>
        <w:suppressAutoHyphens/>
        <w:spacing w:line="100" w:lineRule="atLeast"/>
        <w:rPr>
          <w:rFonts w:eastAsia="Arial Unicode MS"/>
          <w:color w:val="000000"/>
          <w:kern w:val="1"/>
          <w:lang w:eastAsia="ar-SA"/>
        </w:rPr>
      </w:pPr>
      <w:r w:rsidRPr="000E6F80">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E1655A" w:rsidRDefault="00E1655A"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0E6F80" w:rsidP="00E27140">
      <w:pPr>
        <w:suppressAutoHyphens/>
        <w:autoSpaceDE w:val="0"/>
        <w:autoSpaceDN w:val="0"/>
        <w:adjustRightInd w:val="0"/>
        <w:spacing w:before="9" w:line="240" w:lineRule="atLeast"/>
        <w:rPr>
          <w:rFonts w:eastAsia="Arial Unicode MS"/>
          <w:i/>
          <w:color w:val="000000"/>
          <w:kern w:val="1"/>
          <w:lang w:val="sr-Cyrl-CS" w:eastAsia="ar-SA"/>
        </w:rPr>
      </w:pPr>
      <w:r w:rsidRPr="000E6F80">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E1655A" w:rsidRPr="00F30C3A" w:rsidRDefault="00E1655A"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EA7610">
        <w:rPr>
          <w:rFonts w:eastAsia="Arial Unicode MS"/>
          <w:color w:val="000000"/>
          <w:kern w:val="1"/>
          <w:lang w:eastAsia="ar-SA"/>
        </w:rPr>
        <w:t>89</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A7610">
        <w:rPr>
          <w:rFonts w:eastAsia="Arial Unicode MS"/>
          <w:iCs/>
          <w:color w:val="000000"/>
          <w:kern w:val="1"/>
          <w:lang w:val="sr-Cyrl-CS" w:eastAsia="ar-SA"/>
        </w:rPr>
        <w:t>Мокра Гора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0E6F80" w:rsidP="00E27140">
      <w:pPr>
        <w:suppressAutoHyphens/>
        <w:spacing w:line="240" w:lineRule="atLeast"/>
        <w:rPr>
          <w:rFonts w:eastAsia="Arial Unicode MS"/>
          <w:color w:val="000000"/>
          <w:kern w:val="1"/>
          <w:lang w:val="sr-Cyrl-CS" w:eastAsia="ar-SA"/>
        </w:rPr>
      </w:pPr>
      <w:r w:rsidRPr="000E6F80">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E1655A" w:rsidRPr="00E23D15" w:rsidRDefault="00E1655A"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1655A" w:rsidRPr="00E23D15" w:rsidRDefault="00E1655A"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EA7610" w:rsidRDefault="00ED5E2D" w:rsidP="00AB4E18">
      <w:pPr>
        <w:tabs>
          <w:tab w:val="left" w:pos="1350"/>
        </w:tabs>
        <w:spacing w:after="120"/>
        <w:jc w:val="center"/>
        <w:rPr>
          <w:b/>
          <w:w w:val="103"/>
        </w:rPr>
      </w:pPr>
      <w:r>
        <w:rPr>
          <w:b/>
          <w:w w:val="103"/>
        </w:rPr>
        <w:t xml:space="preserve">ПУТНОЈ ИНФРАСТРУКТУРИ У МЗ </w:t>
      </w:r>
      <w:r w:rsidR="00EA7610">
        <w:rPr>
          <w:b/>
          <w:w w:val="103"/>
        </w:rPr>
        <w:t>МОКРА ГОРА</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DE14F1">
        <w:rPr>
          <w:lang w:val="sr-Cyrl-CS"/>
        </w:rPr>
        <w:t>89</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DE14F1">
        <w:rPr>
          <w:lang w:val="sr-Cyrl-CS"/>
        </w:rPr>
        <w:t>89</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DE14F1">
        <w:rPr>
          <w:b/>
          <w:spacing w:val="-1"/>
        </w:rPr>
        <w:t>Мокра Гора</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0E6F80" w:rsidP="00CE45AA">
      <w:pPr>
        <w:tabs>
          <w:tab w:val="left" w:pos="1350"/>
        </w:tabs>
        <w:jc w:val="both"/>
        <w:rPr>
          <w:spacing w:val="36"/>
        </w:rPr>
      </w:pPr>
      <w:r w:rsidRPr="000E6F80">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DE14F1">
        <w:rPr>
          <w:lang w:val="ru-RU"/>
        </w:rPr>
        <w:t>Мокра Гора</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1301FC" w:rsidP="003450DD">
      <w:pPr>
        <w:tabs>
          <w:tab w:val="left" w:pos="0"/>
        </w:tabs>
        <w:spacing w:after="120"/>
        <w:ind w:left="284"/>
        <w:jc w:val="both"/>
      </w:pPr>
      <w:r>
        <w:rPr>
          <w:b/>
        </w:rPr>
        <w:t>I</w:t>
      </w:r>
      <w:r w:rsidR="003450DD">
        <w:rPr>
          <w:b/>
        </w:rPr>
        <w:t xml:space="preserve">) </w:t>
      </w:r>
      <w:r w:rsidR="00EA7610">
        <w:rPr>
          <w:b/>
        </w:rPr>
        <w:t>Пут за Миловановиће, л=90</w:t>
      </w:r>
      <w:r w:rsidR="00195752">
        <w:rPr>
          <w:b/>
        </w:rPr>
        <w:t xml:space="preserve">м </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Pr="00EA7610" w:rsidRDefault="001301FC" w:rsidP="003450DD">
      <w:pPr>
        <w:tabs>
          <w:tab w:val="left" w:pos="284"/>
        </w:tabs>
        <w:spacing w:after="120"/>
        <w:ind w:left="284"/>
        <w:jc w:val="both"/>
      </w:pPr>
      <w:r>
        <w:rPr>
          <w:b/>
        </w:rPr>
        <w:lastRenderedPageBreak/>
        <w:t>II</w:t>
      </w:r>
      <w:r w:rsidR="003450DD">
        <w:rPr>
          <w:b/>
        </w:rPr>
        <w:t xml:space="preserve">) </w:t>
      </w:r>
      <w:r w:rsidR="00EA7610">
        <w:rPr>
          <w:b/>
        </w:rPr>
        <w:t>Пут Жута кућа-Њиве</w:t>
      </w:r>
      <w:r w:rsidR="00E80228">
        <w:rPr>
          <w:b/>
        </w:rPr>
        <w:t>, л=</w:t>
      </w:r>
      <w:r w:rsidR="00EA7610">
        <w:rPr>
          <w:b/>
        </w:rPr>
        <w:t>90</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195752" w:rsidRPr="00EA7610" w:rsidRDefault="00195752" w:rsidP="003450DD">
      <w:pPr>
        <w:tabs>
          <w:tab w:val="left" w:pos="284"/>
        </w:tabs>
        <w:spacing w:after="120"/>
        <w:ind w:left="284"/>
        <w:jc w:val="both"/>
      </w:pPr>
      <w:r>
        <w:rPr>
          <w:b/>
        </w:rPr>
        <w:t>III)</w:t>
      </w:r>
      <w:r w:rsidR="00180424">
        <w:rPr>
          <w:b/>
        </w:rPr>
        <w:t xml:space="preserve"> </w:t>
      </w:r>
      <w:r w:rsidR="00EA7610">
        <w:rPr>
          <w:b/>
        </w:rPr>
        <w:t>Пут Котроман-Филиповићи</w:t>
      </w:r>
      <w:r w:rsidR="002D5FC7">
        <w:rPr>
          <w:b/>
        </w:rPr>
        <w:t>, л=</w:t>
      </w:r>
      <w:r w:rsidR="00EA7610">
        <w:rPr>
          <w:b/>
        </w:rPr>
        <w:t>90</w:t>
      </w:r>
      <w:r>
        <w:rPr>
          <w:b/>
        </w:rPr>
        <w:t xml:space="preserve">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EA7610">
        <w:t>;</w:t>
      </w:r>
    </w:p>
    <w:p w:rsidR="00195752" w:rsidRPr="00EA7610" w:rsidRDefault="00195752" w:rsidP="003450DD">
      <w:pPr>
        <w:tabs>
          <w:tab w:val="left" w:pos="284"/>
        </w:tabs>
        <w:spacing w:after="120"/>
        <w:ind w:left="284"/>
        <w:jc w:val="both"/>
      </w:pPr>
      <w:r>
        <w:rPr>
          <w:b/>
        </w:rPr>
        <w:t>IV)</w:t>
      </w:r>
      <w:r w:rsidR="005419D2">
        <w:rPr>
          <w:b/>
        </w:rPr>
        <w:t xml:space="preserve"> </w:t>
      </w:r>
      <w:r w:rsidR="00EA7610">
        <w:rPr>
          <w:b/>
        </w:rPr>
        <w:t xml:space="preserve">Пут за Дионице, </w:t>
      </w:r>
      <w:r w:rsidR="002D5FC7">
        <w:rPr>
          <w:b/>
        </w:rPr>
        <w:t xml:space="preserve"> л=</w:t>
      </w:r>
      <w:r w:rsidR="00E1655A">
        <w:rPr>
          <w:b/>
        </w:rPr>
        <w:t>90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195752" w:rsidRPr="00EA7610" w:rsidRDefault="00195752" w:rsidP="003450DD">
      <w:pPr>
        <w:tabs>
          <w:tab w:val="left" w:pos="284"/>
        </w:tabs>
        <w:spacing w:after="120"/>
        <w:ind w:left="284"/>
        <w:jc w:val="both"/>
      </w:pPr>
      <w:r>
        <w:rPr>
          <w:b/>
        </w:rPr>
        <w:t>V)</w:t>
      </w:r>
      <w:r w:rsidR="005419D2">
        <w:rPr>
          <w:b/>
        </w:rPr>
        <w:t xml:space="preserve"> </w:t>
      </w:r>
      <w:r w:rsidR="00EA7610">
        <w:rPr>
          <w:b/>
        </w:rPr>
        <w:t>Пут Арсенијевићи-Ресимићи , л=90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EA7610" w:rsidRPr="00EA7610" w:rsidRDefault="00E1655A" w:rsidP="003450DD">
      <w:pPr>
        <w:tabs>
          <w:tab w:val="left" w:pos="284"/>
        </w:tabs>
        <w:spacing w:after="120"/>
        <w:ind w:left="284"/>
        <w:jc w:val="both"/>
      </w:pPr>
      <w:r>
        <w:rPr>
          <w:b/>
        </w:rPr>
        <w:t xml:space="preserve">VI) Пут </w:t>
      </w:r>
      <w:r w:rsidR="00EA7610">
        <w:rPr>
          <w:b/>
        </w:rPr>
        <w:t xml:space="preserve">Цукавци-Стевићи, л=125м </w:t>
      </w:r>
      <w:r w:rsidR="00EA7610" w:rsidRPr="0072753D">
        <w:t>вредност уговорених радова износ</w:t>
      </w:r>
      <w:r w:rsidR="00EA7610">
        <w:t>и _______________ динара без пдв-а,</w:t>
      </w:r>
      <w:r w:rsidR="00EA7610" w:rsidRPr="0072753D">
        <w:t xml:space="preserve"> односно ___________</w:t>
      </w:r>
      <w:r w:rsidR="00EA7610">
        <w:t>_____ динара</w:t>
      </w:r>
      <w:r w:rsidR="00EA7610" w:rsidRPr="0072753D">
        <w:t xml:space="preserve"> са пдв-ом.</w:t>
      </w: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lastRenderedPageBreak/>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DE167A" w:rsidRDefault="00DE167A" w:rsidP="00FC65B0">
      <w:pPr>
        <w:suppressAutoHyphens/>
        <w:spacing w:line="100" w:lineRule="atLeast"/>
        <w:jc w:val="right"/>
        <w:rPr>
          <w:b/>
          <w:bCs/>
          <w:color w:val="000000"/>
          <w:kern w:val="1"/>
          <w:lang w:eastAsia="ar-SA"/>
        </w:rPr>
      </w:pPr>
    </w:p>
    <w:p w:rsidR="00274CF6" w:rsidRPr="00132BED"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834895">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834895">
              <w:rPr>
                <w:rFonts w:eastAsia="Arial Unicode MS"/>
                <w:i/>
                <w:color w:val="000000"/>
                <w:kern w:val="1"/>
                <w:sz w:val="18"/>
                <w:szCs w:val="18"/>
                <w:lang w:eastAsia="ar-SA"/>
              </w:rPr>
              <w:t>Мокра Гора</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834895">
              <w:rPr>
                <w:rFonts w:eastAsia="Arial Unicode MS"/>
                <w:i/>
                <w:color w:val="000000"/>
                <w:kern w:val="1"/>
                <w:sz w:val="18"/>
                <w:szCs w:val="18"/>
                <w:lang w:eastAsia="ar-SA"/>
              </w:rPr>
              <w:t>89</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834895"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834895">
              <w:rPr>
                <w:rFonts w:eastAsia="Arial Unicode MS"/>
                <w:b/>
                <w:color w:val="000000"/>
                <w:kern w:val="1"/>
                <w:lang w:eastAsia="ar-SA"/>
              </w:rPr>
              <w:t>Пут за Миловановиће</w:t>
            </w:r>
          </w:p>
          <w:p w:rsidR="002650EA" w:rsidRPr="008A4DBE" w:rsidRDefault="00834895"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л=90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тампона од каменог </w:t>
            </w:r>
          </w:p>
          <w:p w:rsidR="002C53B4" w:rsidRDefault="00081611" w:rsidP="0044203D">
            <w:pPr>
              <w:tabs>
                <w:tab w:val="num" w:pos="720"/>
              </w:tabs>
              <w:ind w:right="-694"/>
              <w:rPr>
                <w:lang w:val="sr-Cyrl-CS"/>
              </w:rPr>
            </w:pPr>
            <w:r>
              <w:rPr>
                <w:lang w:val="sr-Cyrl-CS"/>
              </w:rPr>
              <w:t>агрегата 0-60мм,</w:t>
            </w:r>
          </w:p>
          <w:p w:rsidR="002C53B4" w:rsidRDefault="00081611" w:rsidP="0044203D">
            <w:pPr>
              <w:tabs>
                <w:tab w:val="num" w:pos="720"/>
              </w:tabs>
              <w:ind w:right="-694"/>
              <w:rPr>
                <w:lang w:val="sr-Cyrl-CS"/>
              </w:rPr>
            </w:pPr>
            <w:r>
              <w:rPr>
                <w:lang w:val="sr-Cyrl-CS"/>
              </w:rPr>
              <w:t xml:space="preserve"> са квашењем и </w:t>
            </w:r>
          </w:p>
          <w:p w:rsidR="002C53B4" w:rsidRPr="0044203D" w:rsidRDefault="00081611" w:rsidP="0044203D">
            <w:pPr>
              <w:tabs>
                <w:tab w:val="num" w:pos="720"/>
              </w:tabs>
              <w:ind w:right="-694"/>
              <w:rPr>
                <w:lang w:val="sr-Cyrl-CS"/>
              </w:rPr>
            </w:pPr>
            <w:r>
              <w:rPr>
                <w:lang w:val="sr-Cyrl-CS"/>
              </w:rPr>
              <w:t>ваљањем</w:t>
            </w:r>
            <w:r w:rsidR="002C53B4">
              <w:rPr>
                <w:lang w:val="sr-Cyrl-CS"/>
              </w:rPr>
              <w:t>,</w:t>
            </w:r>
            <w:r>
              <w:rPr>
                <w:lang w:val="sr-Cyrl-CS"/>
              </w:rPr>
              <w:t xml:space="preserve">  д =</w:t>
            </w:r>
            <w:r w:rsidR="00132BED">
              <w:rPr>
                <w:lang w:val="sr-Cyrl-CS"/>
              </w:rPr>
              <w:t>15-</w:t>
            </w:r>
            <w:r>
              <w:rPr>
                <w:lang w:val="sr-Cyrl-CS"/>
              </w:rPr>
              <w:t>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834895" w:rsidRDefault="00834895"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2C53B4">
            <w:pPr>
              <w:ind w:right="-694"/>
              <w:rPr>
                <w:lang w:val="sr-Cyrl-CS"/>
              </w:rPr>
            </w:pPr>
            <w:r w:rsidRPr="0044203D">
              <w:rPr>
                <w:lang w:val="sr-Cyrl-CS"/>
              </w:rPr>
              <w:t>од 2,50м</w:t>
            </w:r>
            <w:r w:rsidR="002C53B4">
              <w:rPr>
                <w:lang w:val="sr-Cyrl-CS"/>
              </w:rPr>
              <w:t xml:space="preserve"> </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834895" w:rsidRDefault="00834895" w:rsidP="00A72A11">
            <w:pPr>
              <w:jc w:val="right"/>
              <w:rPr>
                <w:rFonts w:ascii="Arial" w:hAnsi="Arial" w:cs="Arial"/>
                <w:color w:val="002060"/>
                <w:sz w:val="20"/>
                <w:szCs w:val="20"/>
              </w:rPr>
            </w:pPr>
            <w:r>
              <w:rPr>
                <w:rFonts w:ascii="Arial" w:hAnsi="Arial" w:cs="Arial"/>
                <w:color w:val="002060"/>
                <w:sz w:val="20"/>
                <w:szCs w:val="20"/>
              </w:rPr>
              <w:t>230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834895">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834895">
              <w:rPr>
                <w:rFonts w:eastAsia="Arial Unicode MS"/>
                <w:b/>
                <w:color w:val="000000"/>
                <w:kern w:val="1"/>
                <w:lang w:eastAsia="ar-SA"/>
              </w:rPr>
              <w:t xml:space="preserve">Пут Жута кућа-Њиве </w:t>
            </w:r>
            <w:r w:rsidR="00132BED">
              <w:rPr>
                <w:rFonts w:eastAsia="Arial Unicode MS"/>
                <w:b/>
                <w:color w:val="000000"/>
                <w:kern w:val="1"/>
                <w:lang w:eastAsia="ar-SA"/>
              </w:rPr>
              <w:t>л=</w:t>
            </w:r>
            <w:r w:rsidR="00834895">
              <w:rPr>
                <w:rFonts w:eastAsia="Arial Unicode MS"/>
                <w:b/>
                <w:color w:val="000000"/>
                <w:kern w:val="1"/>
                <w:lang w:eastAsia="ar-SA"/>
              </w:rPr>
              <w:t>90</w:t>
            </w:r>
            <w:r w:rsidR="002C53B4">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Набавка, превоз и уградња тампона од каменог</w:t>
            </w:r>
          </w:p>
          <w:p w:rsidR="002C53B4" w:rsidRDefault="002C53B4" w:rsidP="002C53B4">
            <w:pPr>
              <w:tabs>
                <w:tab w:val="num" w:pos="720"/>
              </w:tabs>
              <w:ind w:right="-694"/>
              <w:rPr>
                <w:lang w:val="sr-Cyrl-CS"/>
              </w:rPr>
            </w:pPr>
            <w:r>
              <w:rPr>
                <w:lang w:val="sr-Cyrl-CS"/>
              </w:rPr>
              <w:t>агрегата 0-60мм,</w:t>
            </w:r>
          </w:p>
          <w:p w:rsidR="002C53B4" w:rsidRDefault="002C53B4" w:rsidP="002C53B4">
            <w:pPr>
              <w:tabs>
                <w:tab w:val="num" w:pos="720"/>
              </w:tabs>
              <w:ind w:right="-694"/>
              <w:rPr>
                <w:lang w:val="sr-Cyrl-CS"/>
              </w:rPr>
            </w:pPr>
            <w:r>
              <w:rPr>
                <w:lang w:val="sr-Cyrl-CS"/>
              </w:rPr>
              <w:t>са квашењем и</w:t>
            </w:r>
          </w:p>
          <w:p w:rsidR="002650EA" w:rsidRPr="00D60848" w:rsidRDefault="002C53B4" w:rsidP="002C53B4">
            <w:pPr>
              <w:tabs>
                <w:tab w:val="num" w:pos="720"/>
              </w:tabs>
              <w:ind w:right="-694"/>
            </w:pPr>
            <w:r>
              <w:rPr>
                <w:lang w:val="sr-Cyrl-CS"/>
              </w:rPr>
              <w:t>ваљањем,  д =</w:t>
            </w:r>
            <w:r w:rsidR="00132BED">
              <w:rPr>
                <w:lang w:val="sr-Cyrl-CS"/>
              </w:rPr>
              <w:t>15-</w:t>
            </w:r>
            <w:r>
              <w:rPr>
                <w:lang w:val="sr-Cyrl-CS"/>
              </w:rPr>
              <w:t>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834895" w:rsidRDefault="00834895"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132BED">
            <w:pPr>
              <w:ind w:right="-694"/>
              <w:rPr>
                <w:lang w:val="sr-Cyrl-CS"/>
              </w:rPr>
            </w:pPr>
            <w:r w:rsidRPr="00ED028B">
              <w:rPr>
                <w:lang w:val="sr-Cyrl-CS"/>
              </w:rPr>
              <w:t xml:space="preserve"> од </w:t>
            </w:r>
            <w:r w:rsidR="000A717F">
              <w:rPr>
                <w:lang w:val="sr-Cyrl-CS"/>
              </w:rPr>
              <w:t>2,</w:t>
            </w:r>
            <w:r w:rsidR="002C53B4">
              <w:rPr>
                <w:lang w:val="sr-Cyrl-CS"/>
              </w:rPr>
              <w:t xml:space="preserve">50м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834895" w:rsidRDefault="00834895" w:rsidP="00A72A11">
            <w:pPr>
              <w:jc w:val="right"/>
              <w:rPr>
                <w:rFonts w:ascii="Arial" w:hAnsi="Arial" w:cs="Arial"/>
                <w:color w:val="002060"/>
                <w:sz w:val="20"/>
                <w:szCs w:val="20"/>
              </w:rPr>
            </w:pPr>
            <w:r>
              <w:rPr>
                <w:rFonts w:ascii="Arial" w:hAnsi="Arial" w:cs="Arial"/>
                <w:color w:val="002060"/>
                <w:sz w:val="20"/>
                <w:szCs w:val="20"/>
              </w:rPr>
              <w:t>230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834895">
            <w:pPr>
              <w:suppressAutoHyphens/>
              <w:spacing w:line="100" w:lineRule="atLeast"/>
              <w:rPr>
                <w:rFonts w:eastAsia="Arial Unicode MS"/>
                <w:b/>
                <w:color w:val="000000"/>
                <w:kern w:val="1"/>
                <w:lang w:eastAsia="ar-SA"/>
              </w:rPr>
            </w:pPr>
            <w:r>
              <w:rPr>
                <w:rFonts w:eastAsia="Arial Unicode MS"/>
                <w:b/>
                <w:color w:val="000000"/>
                <w:kern w:val="1"/>
                <w:lang w:eastAsia="ar-SA"/>
              </w:rPr>
              <w:t>III.</w:t>
            </w:r>
            <w:r w:rsidR="00834895">
              <w:rPr>
                <w:rFonts w:eastAsia="Arial Unicode MS"/>
                <w:b/>
                <w:color w:val="000000"/>
                <w:kern w:val="1"/>
                <w:lang w:eastAsia="ar-SA"/>
              </w:rPr>
              <w:t>Пут Котроман-Филиповићи, л=90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Набавка, превоз и уградња тампона од каменог</w:t>
            </w:r>
          </w:p>
          <w:p w:rsidR="006B6D54" w:rsidRDefault="006B6D54" w:rsidP="00D60848">
            <w:pPr>
              <w:tabs>
                <w:tab w:val="num" w:pos="720"/>
              </w:tabs>
              <w:ind w:right="-694"/>
              <w:rPr>
                <w:lang w:val="sr-Cyrl-CS"/>
              </w:rPr>
            </w:pPr>
            <w:r>
              <w:rPr>
                <w:lang w:val="sr-Cyrl-CS"/>
              </w:rPr>
              <w:t>агрегата 0-60мм,</w:t>
            </w:r>
          </w:p>
          <w:p w:rsidR="006B6D54" w:rsidRDefault="006B6D54" w:rsidP="00D60848">
            <w:pPr>
              <w:tabs>
                <w:tab w:val="num" w:pos="720"/>
              </w:tabs>
              <w:ind w:right="-694"/>
              <w:rPr>
                <w:lang w:val="sr-Cyrl-CS"/>
              </w:rPr>
            </w:pPr>
            <w:r>
              <w:rPr>
                <w:lang w:val="sr-Cyrl-CS"/>
              </w:rPr>
              <w:t>са квашењем и</w:t>
            </w:r>
          </w:p>
          <w:p w:rsidR="006B6D54" w:rsidRPr="000B170A" w:rsidRDefault="006B6D54" w:rsidP="00D60848">
            <w:pPr>
              <w:tabs>
                <w:tab w:val="num" w:pos="720"/>
              </w:tabs>
              <w:ind w:right="-694"/>
              <w:rPr>
                <w:lang w:val="sr-Cyrl-CS"/>
              </w:rPr>
            </w:pPr>
            <w:r>
              <w:rPr>
                <w:lang w:val="sr-Cyrl-CS"/>
              </w:rPr>
              <w:t>ваљањем,  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834895" w:rsidRDefault="00834895"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C4453B">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834895" w:rsidRDefault="00834895" w:rsidP="00D60848">
            <w:pPr>
              <w:jc w:val="right"/>
              <w:rPr>
                <w:rFonts w:ascii="Arial" w:hAnsi="Arial" w:cs="Arial"/>
                <w:color w:val="002060"/>
                <w:sz w:val="20"/>
                <w:szCs w:val="20"/>
              </w:rPr>
            </w:pPr>
            <w:r>
              <w:rPr>
                <w:rFonts w:ascii="Arial" w:hAnsi="Arial" w:cs="Arial"/>
                <w:color w:val="002060"/>
                <w:sz w:val="20"/>
                <w:szCs w:val="20"/>
              </w:rPr>
              <w:t>230</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834895">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IV.</w:t>
            </w:r>
            <w:r w:rsidR="00834895">
              <w:rPr>
                <w:rFonts w:eastAsia="Arial Unicode MS"/>
                <w:b/>
                <w:color w:val="000000"/>
                <w:kern w:val="1"/>
                <w:lang w:eastAsia="ar-SA"/>
              </w:rPr>
              <w:t>Пут за Дионице, л=90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A717F" w:rsidRDefault="00D60848" w:rsidP="00D60848">
            <w:pPr>
              <w:tabs>
                <w:tab w:val="num" w:pos="720"/>
              </w:tabs>
              <w:ind w:right="-694"/>
            </w:pPr>
            <w:r>
              <w:rPr>
                <w:lang w:val="sr-Cyrl-CS"/>
              </w:rPr>
              <w:t>ваљањем,  д =</w:t>
            </w:r>
            <w:r w:rsidR="00834895">
              <w:rPr>
                <w:lang w:val="sr-Cyrl-CS"/>
              </w:rPr>
              <w:t>15-</w:t>
            </w:r>
            <w:r>
              <w:rPr>
                <w:lang w:val="sr-Cyrl-CS"/>
              </w:rPr>
              <w:t>20 цм</w:t>
            </w:r>
            <w:r w:rsidR="000A717F">
              <w:rPr>
                <w:rFonts w:ascii="Arial" w:hAnsi="Arial" w:cs="Arial"/>
                <w:color w:val="002060"/>
                <w:sz w:val="20"/>
                <w:szCs w:val="20"/>
              </w:rPr>
              <w:br/>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834895" w:rsidRDefault="00834895"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834895" w:rsidRDefault="00834895" w:rsidP="00D60848">
            <w:pPr>
              <w:jc w:val="right"/>
              <w:rPr>
                <w:rFonts w:ascii="Arial" w:hAnsi="Arial" w:cs="Arial"/>
                <w:color w:val="002060"/>
                <w:sz w:val="20"/>
                <w:szCs w:val="20"/>
              </w:rPr>
            </w:pPr>
            <w:r>
              <w:rPr>
                <w:rFonts w:ascii="Arial" w:hAnsi="Arial" w:cs="Arial"/>
                <w:color w:val="002060"/>
                <w:sz w:val="20"/>
                <w:szCs w:val="20"/>
              </w:rPr>
              <w:t>230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834895">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w:t>
            </w:r>
            <w:r w:rsidR="00C4453B">
              <w:rPr>
                <w:rFonts w:eastAsia="Arial Unicode MS"/>
                <w:b/>
                <w:color w:val="000000"/>
                <w:kern w:val="1"/>
                <w:lang w:eastAsia="ar-SA"/>
              </w:rPr>
              <w:t xml:space="preserve"> </w:t>
            </w:r>
            <w:r w:rsidR="00834895">
              <w:rPr>
                <w:rFonts w:eastAsia="Arial Unicode MS"/>
                <w:b/>
                <w:color w:val="000000"/>
                <w:kern w:val="1"/>
                <w:lang w:eastAsia="ar-SA"/>
              </w:rPr>
              <w:t>Пут Арсенијевићи-Ресимићи, л=90</w:t>
            </w:r>
            <w:r>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B170A" w:rsidRDefault="00D60848" w:rsidP="00D60848">
            <w:pPr>
              <w:tabs>
                <w:tab w:val="num" w:pos="720"/>
              </w:tabs>
              <w:ind w:right="-694"/>
              <w:rPr>
                <w:lang w:val="sr-Cyrl-CS"/>
              </w:rPr>
            </w:pPr>
            <w:r>
              <w:rPr>
                <w:lang w:val="sr-Cyrl-CS"/>
              </w:rPr>
              <w:t>ваљањем,  д =</w:t>
            </w:r>
            <w:r w:rsidR="00834895">
              <w:rPr>
                <w:lang w:val="sr-Cyrl-CS"/>
              </w:rPr>
              <w:t>15-</w:t>
            </w:r>
            <w:r>
              <w:rPr>
                <w:lang w:val="sr-Cyrl-CS"/>
              </w:rPr>
              <w:t>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834895" w:rsidRDefault="00834895"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834895" w:rsidRDefault="00834895" w:rsidP="00D60848">
            <w:pPr>
              <w:jc w:val="right"/>
              <w:rPr>
                <w:rFonts w:ascii="Arial" w:hAnsi="Arial" w:cs="Arial"/>
                <w:color w:val="002060"/>
                <w:sz w:val="20"/>
                <w:szCs w:val="20"/>
              </w:rPr>
            </w:pPr>
            <w:r>
              <w:rPr>
                <w:rFonts w:ascii="Arial" w:hAnsi="Arial" w:cs="Arial"/>
                <w:color w:val="002060"/>
                <w:sz w:val="20"/>
                <w:szCs w:val="20"/>
              </w:rPr>
              <w:t>230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834895" w:rsidRPr="008A4DBE" w:rsidRDefault="00834895" w:rsidP="00834895">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VI. Пут Цукавци-Стевићи, л=125м</w:t>
            </w:r>
          </w:p>
        </w:tc>
        <w:tc>
          <w:tcPr>
            <w:tcW w:w="1276"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tcBorders>
            <w:shd w:val="clear" w:color="auto" w:fill="auto"/>
            <w:vAlign w:val="bottom"/>
          </w:tcPr>
          <w:p w:rsidR="00834895" w:rsidRDefault="00834895" w:rsidP="00E1655A">
            <w:pPr>
              <w:tabs>
                <w:tab w:val="num" w:pos="720"/>
              </w:tabs>
              <w:ind w:right="-694"/>
              <w:rPr>
                <w:lang w:val="sr-Cyrl-CS"/>
              </w:rPr>
            </w:pPr>
            <w:r>
              <w:rPr>
                <w:lang w:val="sr-Cyrl-CS"/>
              </w:rPr>
              <w:t>Набавка, превоз и уградња тампона од каменог</w:t>
            </w:r>
          </w:p>
          <w:p w:rsidR="00834895" w:rsidRDefault="00834895" w:rsidP="00E1655A">
            <w:pPr>
              <w:tabs>
                <w:tab w:val="num" w:pos="720"/>
              </w:tabs>
              <w:ind w:right="-694"/>
              <w:rPr>
                <w:lang w:val="sr-Cyrl-CS"/>
              </w:rPr>
            </w:pPr>
            <w:r>
              <w:rPr>
                <w:lang w:val="sr-Cyrl-CS"/>
              </w:rPr>
              <w:t>агрегата 0-60мм,</w:t>
            </w:r>
          </w:p>
          <w:p w:rsidR="00834895" w:rsidRDefault="00834895" w:rsidP="00E1655A">
            <w:pPr>
              <w:tabs>
                <w:tab w:val="num" w:pos="720"/>
              </w:tabs>
              <w:ind w:right="-694"/>
              <w:rPr>
                <w:lang w:val="sr-Cyrl-CS"/>
              </w:rPr>
            </w:pPr>
            <w:r>
              <w:rPr>
                <w:lang w:val="sr-Cyrl-CS"/>
              </w:rPr>
              <w:t>са квашењем и</w:t>
            </w:r>
          </w:p>
          <w:p w:rsidR="00834895" w:rsidRPr="000B170A" w:rsidRDefault="00834895" w:rsidP="00E1655A">
            <w:pPr>
              <w:tabs>
                <w:tab w:val="num" w:pos="720"/>
              </w:tabs>
              <w:ind w:right="-694"/>
              <w:rPr>
                <w:lang w:val="sr-Cyrl-CS"/>
              </w:rPr>
            </w:pPr>
            <w:r>
              <w:rPr>
                <w:lang w:val="sr-Cyrl-CS"/>
              </w:rPr>
              <w:t>ваљањем,  д =15-20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834895" w:rsidRPr="00834895" w:rsidRDefault="00787D1B" w:rsidP="00E1655A">
            <w:pPr>
              <w:jc w:val="right"/>
              <w:rPr>
                <w:rFonts w:ascii="Arial" w:hAnsi="Arial" w:cs="Arial"/>
                <w:color w:val="002060"/>
                <w:sz w:val="20"/>
                <w:szCs w:val="20"/>
              </w:rPr>
            </w:pPr>
            <w:r>
              <w:rPr>
                <w:rFonts w:ascii="Arial" w:hAnsi="Arial" w:cs="Arial"/>
                <w:color w:val="002060"/>
                <w:sz w:val="20"/>
                <w:szCs w:val="20"/>
              </w:rPr>
              <w:t>75</w:t>
            </w:r>
          </w:p>
        </w:tc>
        <w:tc>
          <w:tcPr>
            <w:tcW w:w="141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bottom w:val="single" w:sz="4" w:space="0" w:color="auto"/>
            </w:tcBorders>
            <w:shd w:val="clear" w:color="auto" w:fill="auto"/>
            <w:vAlign w:val="bottom"/>
          </w:tcPr>
          <w:p w:rsidR="00834895" w:rsidRDefault="00834895" w:rsidP="00E1655A">
            <w:pPr>
              <w:ind w:right="-694"/>
              <w:rPr>
                <w:lang w:val="sr-Cyrl-CS"/>
              </w:rPr>
            </w:pPr>
            <w:r>
              <w:rPr>
                <w:lang w:val="sr-Cyrl-CS"/>
              </w:rPr>
              <w:t>Израда асфалтног застора</w:t>
            </w:r>
          </w:p>
          <w:p w:rsidR="00834895" w:rsidRDefault="00834895" w:rsidP="00E1655A">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834895" w:rsidRDefault="00834895" w:rsidP="00E1655A">
            <w:pPr>
              <w:ind w:right="-694"/>
              <w:rPr>
                <w:lang w:val="sr-Cyrl-CS"/>
              </w:rPr>
            </w:pPr>
            <w:r w:rsidRPr="00ED028B">
              <w:rPr>
                <w:lang w:val="sr-Cyrl-CS"/>
              </w:rPr>
              <w:t xml:space="preserve"> од </w:t>
            </w:r>
            <w:r>
              <w:rPr>
                <w:lang w:val="sr-Cyrl-CS"/>
              </w:rPr>
              <w:t xml:space="preserve">2,50м </w:t>
            </w:r>
          </w:p>
          <w:p w:rsidR="00834895" w:rsidRPr="0048658E" w:rsidRDefault="00834895" w:rsidP="00E1655A">
            <w:pPr>
              <w:ind w:right="-694"/>
              <w:rPr>
                <w:lang w:val="sr-Cyrl-CS"/>
              </w:rPr>
            </w:pPr>
          </w:p>
        </w:tc>
        <w:tc>
          <w:tcPr>
            <w:tcW w:w="709" w:type="dxa"/>
            <w:tcBorders>
              <w:top w:val="single" w:sz="4" w:space="0" w:color="auto"/>
              <w:bottom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834895" w:rsidRPr="00834895" w:rsidRDefault="00787D1B" w:rsidP="00787D1B">
            <w:pPr>
              <w:jc w:val="right"/>
              <w:rPr>
                <w:rFonts w:ascii="Arial" w:hAnsi="Arial" w:cs="Arial"/>
                <w:color w:val="002060"/>
                <w:sz w:val="20"/>
                <w:szCs w:val="20"/>
              </w:rPr>
            </w:pPr>
            <w:r>
              <w:rPr>
                <w:rFonts w:ascii="Arial" w:hAnsi="Arial" w:cs="Arial"/>
                <w:color w:val="002060"/>
                <w:sz w:val="20"/>
                <w:szCs w:val="20"/>
              </w:rPr>
              <w:t>310</w:t>
            </w:r>
          </w:p>
        </w:tc>
        <w:tc>
          <w:tcPr>
            <w:tcW w:w="141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34895" w:rsidRPr="008A4DBE" w:rsidRDefault="00834895" w:rsidP="00E1655A">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34895" w:rsidRPr="008A4DBE" w:rsidRDefault="00834895" w:rsidP="00E1655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34895" w:rsidRPr="008A4DBE" w:rsidRDefault="00834895" w:rsidP="00E1655A">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00834895">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Pr="00FC65B0"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87D1B">
        <w:rPr>
          <w:rFonts w:eastAsia="Arial Unicode MS"/>
          <w:b/>
          <w:color w:val="000000"/>
          <w:kern w:val="1"/>
          <w:lang w:eastAsia="ar-SA"/>
        </w:rPr>
        <w:t>89</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87D1B">
        <w:rPr>
          <w:rFonts w:eastAsia="Arial Unicode MS"/>
          <w:b/>
          <w:bCs/>
          <w:color w:val="000000"/>
          <w:kern w:val="1"/>
          <w:lang w:eastAsia="ar-SA"/>
        </w:rPr>
        <w:t>Мокра Гора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87D1B">
        <w:rPr>
          <w:rFonts w:eastAsia="Arial Unicode MS"/>
          <w:kern w:val="1"/>
          <w:lang w:eastAsia="ar-SA"/>
        </w:rPr>
        <w:t>19.05.2021.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87D1B">
        <w:rPr>
          <w:rFonts w:eastAsia="Arial Unicode MS"/>
          <w:b/>
          <w:color w:val="000000"/>
          <w:kern w:val="1"/>
          <w:lang w:eastAsia="ar-SA"/>
        </w:rPr>
        <w:t>89</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87D1B">
        <w:rPr>
          <w:rFonts w:eastAsia="Arial Unicode MS"/>
          <w:b/>
          <w:bCs/>
          <w:color w:val="000000"/>
          <w:kern w:val="1"/>
          <w:lang w:eastAsia="ar-SA"/>
        </w:rPr>
        <w:t>Мокра Гора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87D1B">
        <w:rPr>
          <w:rFonts w:eastAsia="Arial Unicode MS"/>
          <w:b/>
          <w:color w:val="000000"/>
          <w:kern w:val="1"/>
          <w:lang w:eastAsia="ar-SA"/>
        </w:rPr>
        <w:t>89</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87D1B">
        <w:rPr>
          <w:rFonts w:eastAsia="Arial Unicode MS"/>
          <w:b/>
          <w:bCs/>
          <w:color w:val="000000"/>
          <w:kern w:val="1"/>
          <w:lang w:eastAsia="ar-SA"/>
        </w:rPr>
        <w:t>МОкра Гора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787D1B">
        <w:rPr>
          <w:rFonts w:eastAsia="Arial Unicode MS"/>
          <w:b/>
          <w:color w:val="000000"/>
          <w:kern w:val="1"/>
          <w:lang w:eastAsia="ar-SA"/>
        </w:rPr>
        <w:t>89</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87D1B">
        <w:rPr>
          <w:rFonts w:eastAsia="Arial Unicode MS"/>
          <w:b/>
          <w:bCs/>
          <w:color w:val="000000"/>
          <w:kern w:val="1"/>
          <w:lang w:eastAsia="ar-SA"/>
        </w:rPr>
        <w:t>Мокра Гора</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87D1B">
        <w:rPr>
          <w:rFonts w:eastAsia="Arial Unicode MS"/>
          <w:color w:val="000000"/>
          <w:kern w:val="1"/>
          <w:lang w:eastAsia="ar-SA"/>
        </w:rPr>
        <w:t>89</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787D1B">
        <w:rPr>
          <w:rFonts w:eastAsia="TimesNewRomanPS-BoldMT"/>
          <w:b/>
          <w:bCs/>
          <w:color w:val="000000"/>
          <w:kern w:val="1"/>
          <w:lang w:eastAsia="ar-SA"/>
        </w:rPr>
        <w:t>Мокра Гора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3D" w:rsidRDefault="0000563D" w:rsidP="00A54467">
      <w:r>
        <w:separator/>
      </w:r>
    </w:p>
  </w:endnote>
  <w:endnote w:type="continuationSeparator" w:id="0">
    <w:p w:rsidR="0000563D" w:rsidRDefault="0000563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5A" w:rsidRDefault="00E1655A"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5A" w:rsidRPr="00E04EB9" w:rsidRDefault="00E1655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1655A" w:rsidRPr="00E04EB9" w:rsidRDefault="00E1655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1655A" w:rsidRDefault="00E1655A"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5A" w:rsidRPr="00E04EB9" w:rsidRDefault="00E1655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1655A" w:rsidRPr="00E04EB9" w:rsidRDefault="00E1655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1655A" w:rsidRPr="00F825D0" w:rsidRDefault="00E1655A"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3D" w:rsidRDefault="0000563D" w:rsidP="00A54467">
      <w:r>
        <w:separator/>
      </w:r>
    </w:p>
  </w:footnote>
  <w:footnote w:type="continuationSeparator" w:id="0">
    <w:p w:rsidR="0000563D" w:rsidRDefault="0000563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1655A" w:rsidRDefault="00E1655A">
        <w:pPr>
          <w:pStyle w:val="Header"/>
          <w:jc w:val="right"/>
        </w:pPr>
        <w:r>
          <w:t xml:space="preserve">страна </w:t>
        </w:r>
        <w:r w:rsidR="000E6F80">
          <w:rPr>
            <w:b/>
            <w:bCs/>
          </w:rPr>
          <w:fldChar w:fldCharType="begin"/>
        </w:r>
        <w:r>
          <w:rPr>
            <w:b/>
            <w:bCs/>
          </w:rPr>
          <w:instrText xml:space="preserve"> PAGE </w:instrText>
        </w:r>
        <w:r w:rsidR="000E6F80">
          <w:rPr>
            <w:b/>
            <w:bCs/>
          </w:rPr>
          <w:fldChar w:fldCharType="separate"/>
        </w:r>
        <w:r w:rsidR="00CF767E">
          <w:rPr>
            <w:b/>
            <w:bCs/>
            <w:noProof/>
          </w:rPr>
          <w:t>34</w:t>
        </w:r>
        <w:r w:rsidR="000E6F80">
          <w:rPr>
            <w:b/>
            <w:bCs/>
          </w:rPr>
          <w:fldChar w:fldCharType="end"/>
        </w:r>
        <w:r>
          <w:t xml:space="preserve"> од </w:t>
        </w:r>
        <w:r w:rsidR="000E6F80">
          <w:rPr>
            <w:b/>
            <w:bCs/>
          </w:rPr>
          <w:fldChar w:fldCharType="begin"/>
        </w:r>
        <w:r>
          <w:rPr>
            <w:b/>
            <w:bCs/>
          </w:rPr>
          <w:instrText xml:space="preserve"> NUMPAGES  </w:instrText>
        </w:r>
        <w:r w:rsidR="000E6F80">
          <w:rPr>
            <w:b/>
            <w:bCs/>
          </w:rPr>
          <w:fldChar w:fldCharType="separate"/>
        </w:r>
        <w:r w:rsidR="00CF767E">
          <w:rPr>
            <w:b/>
            <w:bCs/>
            <w:noProof/>
          </w:rPr>
          <w:t>34</w:t>
        </w:r>
        <w:r w:rsidR="000E6F80">
          <w:rPr>
            <w:b/>
            <w:bCs/>
          </w:rPr>
          <w:fldChar w:fldCharType="end"/>
        </w:r>
      </w:p>
    </w:sdtContent>
  </w:sdt>
  <w:p w:rsidR="00E1655A" w:rsidRDefault="00E16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E1655A" w:rsidRDefault="00E1655A" w:rsidP="00492D7A">
        <w:pPr>
          <w:pStyle w:val="Header"/>
          <w:jc w:val="right"/>
        </w:pPr>
        <w:r>
          <w:t xml:space="preserve">страна </w:t>
        </w:r>
        <w:r w:rsidR="000E6F80">
          <w:rPr>
            <w:b/>
            <w:bCs/>
          </w:rPr>
          <w:fldChar w:fldCharType="begin"/>
        </w:r>
        <w:r>
          <w:rPr>
            <w:b/>
            <w:bCs/>
          </w:rPr>
          <w:instrText xml:space="preserve"> PAGE </w:instrText>
        </w:r>
        <w:r w:rsidR="000E6F80">
          <w:rPr>
            <w:b/>
            <w:bCs/>
          </w:rPr>
          <w:fldChar w:fldCharType="separate"/>
        </w:r>
        <w:r w:rsidR="00CF767E">
          <w:rPr>
            <w:b/>
            <w:bCs/>
            <w:noProof/>
          </w:rPr>
          <w:t>1</w:t>
        </w:r>
        <w:r w:rsidR="000E6F80">
          <w:rPr>
            <w:b/>
            <w:bCs/>
          </w:rPr>
          <w:fldChar w:fldCharType="end"/>
        </w:r>
        <w:r>
          <w:t xml:space="preserve"> од </w:t>
        </w:r>
        <w:r w:rsidR="000E6F80">
          <w:rPr>
            <w:b/>
            <w:bCs/>
          </w:rPr>
          <w:fldChar w:fldCharType="begin"/>
        </w:r>
        <w:r>
          <w:rPr>
            <w:b/>
            <w:bCs/>
          </w:rPr>
          <w:instrText xml:space="preserve"> NUMPAGES  </w:instrText>
        </w:r>
        <w:r w:rsidR="000E6F80">
          <w:rPr>
            <w:b/>
            <w:bCs/>
          </w:rPr>
          <w:fldChar w:fldCharType="separate"/>
        </w:r>
        <w:r w:rsidR="00CF767E">
          <w:rPr>
            <w:b/>
            <w:bCs/>
            <w:noProof/>
          </w:rPr>
          <w:t>14</w:t>
        </w:r>
        <w:r w:rsidR="000E6F80">
          <w:rPr>
            <w:b/>
            <w:bCs/>
          </w:rPr>
          <w:fldChar w:fldCharType="end"/>
        </w:r>
      </w:p>
    </w:sdtContent>
  </w:sdt>
  <w:p w:rsidR="00E1655A" w:rsidRPr="00AA7DBA" w:rsidRDefault="00E1655A" w:rsidP="001C3707">
    <w:pPr>
      <w:pStyle w:val="Header"/>
      <w:spacing w:line="360" w:lineRule="auto"/>
      <w:rPr>
        <w:lang w:val="sr-Cyrl-CS"/>
      </w:rPr>
    </w:pPr>
  </w:p>
  <w:p w:rsidR="00E1655A" w:rsidRPr="00AA7DBA" w:rsidRDefault="00E1655A"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15714"/>
  </w:hdrShapeDefaults>
  <w:footnotePr>
    <w:footnote w:id="-1"/>
    <w:footnote w:id="0"/>
  </w:footnotePr>
  <w:endnotePr>
    <w:endnote w:id="-1"/>
    <w:endnote w:id="0"/>
  </w:endnotePr>
  <w:compat/>
  <w:rsids>
    <w:rsidRoot w:val="001E7268"/>
    <w:rsid w:val="0000125E"/>
    <w:rsid w:val="00002C94"/>
    <w:rsid w:val="00002F5C"/>
    <w:rsid w:val="000042EE"/>
    <w:rsid w:val="0000563D"/>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E6F80"/>
    <w:rsid w:val="000F37EC"/>
    <w:rsid w:val="000F4842"/>
    <w:rsid w:val="000F7798"/>
    <w:rsid w:val="0010299C"/>
    <w:rsid w:val="001031F5"/>
    <w:rsid w:val="00104814"/>
    <w:rsid w:val="00105EFB"/>
    <w:rsid w:val="00106F02"/>
    <w:rsid w:val="00107027"/>
    <w:rsid w:val="0010769A"/>
    <w:rsid w:val="00122684"/>
    <w:rsid w:val="001244E7"/>
    <w:rsid w:val="00125DE3"/>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4DB8"/>
    <w:rsid w:val="001D5AB5"/>
    <w:rsid w:val="001D5F91"/>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FF3"/>
    <w:rsid w:val="003306CD"/>
    <w:rsid w:val="003450DD"/>
    <w:rsid w:val="00352B5A"/>
    <w:rsid w:val="00360237"/>
    <w:rsid w:val="00360253"/>
    <w:rsid w:val="00361462"/>
    <w:rsid w:val="0036233E"/>
    <w:rsid w:val="0036590E"/>
    <w:rsid w:val="00372E79"/>
    <w:rsid w:val="00374478"/>
    <w:rsid w:val="003760A3"/>
    <w:rsid w:val="00392A0A"/>
    <w:rsid w:val="003947A6"/>
    <w:rsid w:val="003B1629"/>
    <w:rsid w:val="003B3331"/>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712A"/>
    <w:rsid w:val="00513409"/>
    <w:rsid w:val="0051364A"/>
    <w:rsid w:val="00535EBF"/>
    <w:rsid w:val="005400A4"/>
    <w:rsid w:val="005419D2"/>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2277"/>
    <w:rsid w:val="005D550D"/>
    <w:rsid w:val="005E2A56"/>
    <w:rsid w:val="005E3513"/>
    <w:rsid w:val="005E4642"/>
    <w:rsid w:val="005E4DA7"/>
    <w:rsid w:val="005E5D94"/>
    <w:rsid w:val="005F2061"/>
    <w:rsid w:val="006021F5"/>
    <w:rsid w:val="00603644"/>
    <w:rsid w:val="00605634"/>
    <w:rsid w:val="00605BAF"/>
    <w:rsid w:val="00612B7E"/>
    <w:rsid w:val="0061394E"/>
    <w:rsid w:val="00615AA2"/>
    <w:rsid w:val="00620990"/>
    <w:rsid w:val="00635EDC"/>
    <w:rsid w:val="00651C6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B6D54"/>
    <w:rsid w:val="006C2F0B"/>
    <w:rsid w:val="006C3E62"/>
    <w:rsid w:val="006E2FDB"/>
    <w:rsid w:val="006E5434"/>
    <w:rsid w:val="006E6998"/>
    <w:rsid w:val="006F2594"/>
    <w:rsid w:val="00706066"/>
    <w:rsid w:val="00712177"/>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1B"/>
    <w:rsid w:val="00787D87"/>
    <w:rsid w:val="00791EFD"/>
    <w:rsid w:val="00792CA4"/>
    <w:rsid w:val="007A00C2"/>
    <w:rsid w:val="007A231E"/>
    <w:rsid w:val="007A2A96"/>
    <w:rsid w:val="007B429D"/>
    <w:rsid w:val="007C1963"/>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1228"/>
    <w:rsid w:val="00CC2512"/>
    <w:rsid w:val="00CC4E8D"/>
    <w:rsid w:val="00CC7223"/>
    <w:rsid w:val="00CD5222"/>
    <w:rsid w:val="00CE3037"/>
    <w:rsid w:val="00CE45AA"/>
    <w:rsid w:val="00CE6D49"/>
    <w:rsid w:val="00CF767E"/>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0848"/>
    <w:rsid w:val="00D63B0A"/>
    <w:rsid w:val="00D64346"/>
    <w:rsid w:val="00D77511"/>
    <w:rsid w:val="00D8310F"/>
    <w:rsid w:val="00D92F16"/>
    <w:rsid w:val="00DA0F05"/>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68A4"/>
    <w:rsid w:val="00F170CC"/>
    <w:rsid w:val="00F25F8D"/>
    <w:rsid w:val="00F2683A"/>
    <w:rsid w:val="00F31B02"/>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2249-90D9-4A94-B447-34193E0E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TotalTime>
  <Pages>34</Pages>
  <Words>8442</Words>
  <Characters>48120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2021-05-12T10:42:00Z</cp:lastPrinted>
  <dcterms:created xsi:type="dcterms:W3CDTF">2021-05-12T11:05:00Z</dcterms:created>
  <dcterms:modified xsi:type="dcterms:W3CDTF">2021-05-12T11:05:00Z</dcterms:modified>
</cp:coreProperties>
</file>