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DA601D">
            <w:pPr>
              <w:pStyle w:val="Header"/>
              <w:spacing w:line="360" w:lineRule="auto"/>
              <w:ind w:left="-249"/>
            </w:pPr>
            <w:r>
              <w:rPr>
                <w:lang w:val="sr-Cyrl-BA"/>
              </w:rPr>
              <w:t xml:space="preserve">ББрој: </w:t>
            </w:r>
            <w:r w:rsidR="00E24FCF">
              <w:t>404-</w:t>
            </w:r>
            <w:r w:rsidR="00BF5969">
              <w:t>19</w:t>
            </w:r>
            <w:r w:rsidR="00DA601D">
              <w:t>9</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F5969" w:rsidP="00DA601D">
            <w:pPr>
              <w:pStyle w:val="Header"/>
              <w:spacing w:line="360" w:lineRule="auto"/>
              <w:ind w:left="-108"/>
              <w:jc w:val="both"/>
              <w:rPr>
                <w:lang w:val="sr-Cyrl-BA"/>
              </w:rPr>
            </w:pPr>
            <w:r>
              <w:t>2</w:t>
            </w:r>
            <w:r w:rsidR="00DA601D">
              <w:t>8</w:t>
            </w:r>
            <w:r w:rsidR="007A231E">
              <w:t>.0</w:t>
            </w:r>
            <w:r>
              <w:t>8</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ПУТНА ИНФРАСТРУКТУРА  У МЗ ЗЛАКУСА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552B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w:t>
      </w:r>
      <w:r w:rsidR="00BF5969">
        <w:rPr>
          <w:rFonts w:eastAsia="Arial Unicode MS"/>
          <w:i/>
          <w:iCs/>
          <w:color w:val="000000"/>
          <w:kern w:val="1"/>
          <w:lang w:val="sr-Cyrl-CS" w:eastAsia="ar-SA"/>
        </w:rPr>
        <w:t>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5F2061">
        <w:rPr>
          <w:rFonts w:eastAsia="Arial Unicode MS"/>
          <w:color w:val="000000"/>
          <w:kern w:val="1"/>
          <w:lang w:eastAsia="ar-SA"/>
        </w:rPr>
        <w:t>1</w:t>
      </w:r>
      <w:r w:rsidR="00B552B3">
        <w:rPr>
          <w:rFonts w:eastAsia="Arial Unicode MS"/>
          <w:color w:val="000000"/>
          <w:kern w:val="1"/>
          <w:lang w:eastAsia="ar-SA"/>
        </w:rPr>
        <w:t>9</w:t>
      </w:r>
      <w:r w:rsidR="00DA601D">
        <w:rPr>
          <w:rFonts w:eastAsia="Arial Unicode MS"/>
          <w:color w:val="000000"/>
          <w:kern w:val="1"/>
          <w:lang w:eastAsia="ar-SA"/>
        </w:rPr>
        <w:t>9</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50A42">
        <w:rPr>
          <w:rFonts w:eastAsia="Arial Unicode MS"/>
          <w:color w:val="000000"/>
          <w:kern w:val="1"/>
          <w:lang w:val="sr-Cyrl-CS" w:eastAsia="ar-SA"/>
        </w:rPr>
        <w:t>2</w:t>
      </w:r>
      <w:r w:rsidR="00C43EA1">
        <w:rPr>
          <w:rFonts w:eastAsia="Arial Unicode MS"/>
          <w:color w:val="000000"/>
          <w:kern w:val="1"/>
          <w:lang w:eastAsia="ar-SA"/>
        </w:rPr>
        <w:t>8</w:t>
      </w:r>
      <w:r w:rsidR="00151B54">
        <w:rPr>
          <w:rFonts w:eastAsia="Arial Unicode MS"/>
          <w:color w:val="000000"/>
          <w:kern w:val="1"/>
          <w:lang w:val="sr-Cyrl-CS" w:eastAsia="ar-SA"/>
        </w:rPr>
        <w:t>.0</w:t>
      </w:r>
      <w:r w:rsidR="005F2061">
        <w:rPr>
          <w:rFonts w:eastAsia="Arial Unicode MS"/>
          <w:color w:val="000000"/>
          <w:kern w:val="1"/>
          <w:lang w:val="sr-Cyrl-CS" w:eastAsia="ar-SA"/>
        </w:rPr>
        <w:t>8</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A601D"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Путна инфраструктура у МЗ Злакуса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044124">
            <w:pPr>
              <w:jc w:val="center"/>
              <w:rPr>
                <w:rFonts w:eastAsia="TimesNewRomanPSMT"/>
                <w:lang w:eastAsia="ar-SA"/>
              </w:rPr>
            </w:pPr>
            <w:r>
              <w:rPr>
                <w:rFonts w:eastAsia="TimesNewRomanPSMT"/>
                <w:lang w:eastAsia="ar-SA"/>
              </w:rPr>
              <w:t>30</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7F10A6">
        <w:rPr>
          <w:rFonts w:eastAsia="TimesNewRomanPSMT"/>
          <w:kern w:val="1"/>
          <w:lang w:val="sr-Cyrl-CS" w:eastAsia="ar-SA"/>
        </w:rPr>
        <w:t>4</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C2F0B">
        <w:rPr>
          <w:rFonts w:eastAsia="Arial Unicode MS"/>
          <w:color w:val="000000"/>
          <w:kern w:val="1"/>
          <w:lang w:eastAsia="ar-SA"/>
        </w:rPr>
        <w:t>1</w:t>
      </w:r>
      <w:r w:rsidR="00B552B3">
        <w:rPr>
          <w:rFonts w:eastAsia="Arial Unicode MS"/>
          <w:color w:val="000000"/>
          <w:kern w:val="1"/>
          <w:lang w:eastAsia="ar-SA"/>
        </w:rPr>
        <w:t>9</w:t>
      </w:r>
      <w:r w:rsidR="00DA601D">
        <w:rPr>
          <w:rFonts w:eastAsia="Arial Unicode MS"/>
          <w:color w:val="000000"/>
          <w:kern w:val="1"/>
          <w:lang w:eastAsia="ar-SA"/>
        </w:rPr>
        <w:t>9</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Путна инфраструктура у МЗ Злакуса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635EDC"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 ЗЛАКУСА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Радови на путној инфраструктури у МЗ Злакуса и то:</w:t>
      </w:r>
    </w:p>
    <w:p w:rsidR="00635EDC" w:rsidRDefault="00635EDC" w:rsidP="007E2D0E">
      <w:pPr>
        <w:jc w:val="both"/>
        <w:rPr>
          <w:noProof/>
        </w:rPr>
      </w:pPr>
      <w:r>
        <w:rPr>
          <w:noProof/>
        </w:rPr>
        <w:t>А) Реконструкција дела пута од куће П.Зечевића ка кући П.Шуњеварића (око 110м)</w:t>
      </w:r>
    </w:p>
    <w:p w:rsidR="00635EDC" w:rsidRDefault="00635EDC" w:rsidP="007E2D0E">
      <w:pPr>
        <w:jc w:val="both"/>
        <w:rPr>
          <w:noProof/>
        </w:rPr>
      </w:pPr>
      <w:r>
        <w:rPr>
          <w:noProof/>
        </w:rPr>
        <w:t>Б) Део пута Јавор ка кући Петка Терзића (л≈90м)</w:t>
      </w:r>
    </w:p>
    <w:p w:rsidR="009026D3" w:rsidRDefault="009026D3" w:rsidP="007E2D0E">
      <w:pPr>
        <w:jc w:val="both"/>
        <w:rPr>
          <w:noProof/>
        </w:rPr>
      </w:pPr>
      <w:r>
        <w:rPr>
          <w:noProof/>
        </w:rPr>
        <w:t>В) Део пута раскршће Ливадак – Спасојевићи (око 140м)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155C4">
        <w:rPr>
          <w:rFonts w:eastAsia="Arial Unicode MS"/>
          <w:color w:val="000000"/>
          <w:kern w:val="1"/>
          <w:lang w:eastAsia="ar-SA"/>
        </w:rPr>
        <w:t>1</w:t>
      </w:r>
      <w:r w:rsidR="008511EC">
        <w:rPr>
          <w:rFonts w:eastAsia="Arial Unicode MS"/>
          <w:color w:val="000000"/>
          <w:kern w:val="1"/>
          <w:lang w:eastAsia="ar-SA"/>
        </w:rPr>
        <w:t>9</w:t>
      </w:r>
      <w:r w:rsidR="00664FDE">
        <w:rPr>
          <w:rFonts w:eastAsia="Arial Unicode MS"/>
          <w:color w:val="000000"/>
          <w:kern w:val="1"/>
          <w:lang w:eastAsia="ar-SA"/>
        </w:rPr>
        <w:t>9</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 Злакуса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19</w:t>
      </w:r>
      <w:r w:rsidR="00664FDE">
        <w:rPr>
          <w:rFonts w:eastAsia="Arial Unicode MS"/>
          <w:color w:val="000000"/>
          <w:kern w:val="1"/>
          <w:lang w:eastAsia="ar-SA"/>
        </w:rPr>
        <w:t>9</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 Злакуса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 Злакуса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D34A1">
        <w:rPr>
          <w:rFonts w:eastAsia="Arial Unicode MS"/>
          <w:color w:val="000000"/>
          <w:kern w:val="1"/>
          <w:lang w:eastAsia="ar-SA"/>
        </w:rPr>
        <w:t>19</w:t>
      </w:r>
      <w:r w:rsidR="00E27140">
        <w:rPr>
          <w:rFonts w:eastAsia="Arial Unicode MS"/>
          <w:color w:val="000000"/>
          <w:kern w:val="1"/>
          <w:lang w:eastAsia="ar-SA"/>
        </w:rPr>
        <w:t>9</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 Злакуса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Злакуса </w:t>
      </w:r>
      <w:r w:rsidR="002036D9" w:rsidRPr="00CF4D29">
        <w:rPr>
          <w:color w:val="000000"/>
        </w:rPr>
        <w:t xml:space="preserve">број  </w:t>
      </w:r>
      <w:r w:rsidR="002036D9">
        <w:rPr>
          <w:color w:val="000000"/>
        </w:rPr>
        <w:t>VIII 404-19</w:t>
      </w:r>
      <w:r w:rsidR="00E27140">
        <w:rPr>
          <w:color w:val="000000"/>
        </w:rPr>
        <w:t>9</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Путна инфраструктура у МЗ Злакуса</w:t>
      </w:r>
      <w:r w:rsidR="002036D9" w:rsidRPr="00B74A92">
        <w:rPr>
          <w:color w:val="000000"/>
        </w:rPr>
        <w:t xml:space="preserve"> </w:t>
      </w:r>
      <w:r w:rsidR="002036D9" w:rsidRPr="00CF4D29">
        <w:rPr>
          <w:color w:val="000000"/>
        </w:rPr>
        <w:t xml:space="preserve">број  </w:t>
      </w:r>
      <w:r w:rsidR="002036D9">
        <w:rPr>
          <w:color w:val="000000"/>
        </w:rPr>
        <w:t>VIII 404-19</w:t>
      </w:r>
      <w:r w:rsidR="00E27140">
        <w:rPr>
          <w:color w:val="000000"/>
        </w:rPr>
        <w:t>9</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Pr>
          <w:rFonts w:eastAsia="Arial Unicode MS"/>
          <w:kern w:val="1"/>
          <w:lang w:eastAsia="ar-SA"/>
        </w:rPr>
        <w:t>199</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 Злакуса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ED43B6" w:rsidRPr="00ED43B6">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CC0D4A" w:rsidRDefault="00CC0D4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ED43B6" w:rsidP="00E27140">
      <w:r w:rsidRPr="00ED43B6">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CC0D4A" w:rsidRDefault="00CC0D4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ED43B6" w:rsidP="00E27140">
      <w:r w:rsidRPr="00ED43B6">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CC0D4A" w:rsidRDefault="00CC0D4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ED43B6" w:rsidP="00E27140">
      <w:pPr>
        <w:suppressAutoHyphens/>
        <w:spacing w:line="100" w:lineRule="atLeast"/>
        <w:rPr>
          <w:rFonts w:eastAsia="Arial Unicode MS"/>
          <w:color w:val="000000"/>
          <w:kern w:val="1"/>
          <w:lang w:eastAsia="ar-SA"/>
        </w:rPr>
      </w:pPr>
      <w:r w:rsidRPr="00ED43B6">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CC0D4A" w:rsidRDefault="00CC0D4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ED43B6" w:rsidP="00E27140">
      <w:pPr>
        <w:suppressAutoHyphens/>
        <w:autoSpaceDE w:val="0"/>
        <w:autoSpaceDN w:val="0"/>
        <w:adjustRightInd w:val="0"/>
        <w:spacing w:before="9" w:line="240" w:lineRule="atLeast"/>
        <w:rPr>
          <w:rFonts w:eastAsia="Arial Unicode MS"/>
          <w:i/>
          <w:color w:val="000000"/>
          <w:kern w:val="1"/>
          <w:lang w:val="sr-Cyrl-CS" w:eastAsia="ar-SA"/>
        </w:rPr>
      </w:pPr>
      <w:r w:rsidRPr="00ED43B6">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CC0D4A" w:rsidRPr="00F30C3A" w:rsidRDefault="00CC0D4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Pr>
          <w:rFonts w:eastAsia="Arial Unicode MS"/>
          <w:color w:val="000000"/>
          <w:kern w:val="1"/>
          <w:lang w:eastAsia="ar-SA"/>
        </w:rPr>
        <w:t>199</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Pr>
          <w:rFonts w:eastAsia="Arial Unicode MS"/>
          <w:iCs/>
          <w:color w:val="000000"/>
          <w:kern w:val="1"/>
          <w:lang w:val="sr-Cyrl-CS" w:eastAsia="ar-SA"/>
        </w:rPr>
        <w:t>Злакуса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ED43B6" w:rsidP="00E27140">
      <w:pPr>
        <w:suppressAutoHyphens/>
        <w:spacing w:line="240" w:lineRule="atLeast"/>
        <w:rPr>
          <w:rFonts w:eastAsia="Arial Unicode MS"/>
          <w:color w:val="000000"/>
          <w:kern w:val="1"/>
          <w:lang w:val="sr-Cyrl-CS" w:eastAsia="ar-SA"/>
        </w:rPr>
      </w:pPr>
      <w:r w:rsidRPr="00ED43B6">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CC0D4A" w:rsidRPr="00E23D15" w:rsidRDefault="00CC0D4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C0D4A" w:rsidRPr="00E23D15" w:rsidRDefault="00CC0D4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D5E2D" w:rsidRDefault="00ED5E2D" w:rsidP="00AB4E18">
      <w:pPr>
        <w:tabs>
          <w:tab w:val="left" w:pos="1350"/>
        </w:tabs>
        <w:spacing w:after="120"/>
        <w:jc w:val="center"/>
        <w:rPr>
          <w:b/>
          <w:w w:val="103"/>
        </w:rPr>
      </w:pPr>
      <w:r>
        <w:rPr>
          <w:b/>
          <w:w w:val="103"/>
        </w:rPr>
        <w:t>ПУТНОЈ ИНФРАСТРУКТУРИ У МЗ ЗЛАКУСА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B1684">
        <w:rPr>
          <w:lang w:val="sr-Cyrl-CS"/>
        </w:rPr>
        <w:t>1</w:t>
      </w:r>
      <w:r w:rsidR="008511EC">
        <w:rPr>
          <w:lang w:val="sr-Cyrl-CS"/>
        </w:rPr>
        <w:t>9</w:t>
      </w:r>
      <w:r w:rsidR="00ED5E2D">
        <w:rPr>
          <w:lang w:val="sr-Cyrl-CS"/>
        </w:rPr>
        <w:t>9</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B1684">
        <w:rPr>
          <w:lang w:val="sr-Cyrl-CS"/>
        </w:rPr>
        <w:t>1</w:t>
      </w:r>
      <w:r w:rsidR="008511EC">
        <w:rPr>
          <w:lang w:val="sr-Cyrl-CS"/>
        </w:rPr>
        <w:t>9</w:t>
      </w:r>
      <w:r w:rsidR="00ED5E2D">
        <w:rPr>
          <w:lang w:val="sr-Cyrl-CS"/>
        </w:rPr>
        <w:t>9</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Путна инфраструктура у МЗ Злакуса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ED43B6" w:rsidP="00CE45AA">
      <w:pPr>
        <w:tabs>
          <w:tab w:val="left" w:pos="1350"/>
        </w:tabs>
        <w:jc w:val="both"/>
        <w:rPr>
          <w:spacing w:val="36"/>
        </w:rPr>
      </w:pPr>
      <w:r w:rsidRPr="00ED43B6">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3450DD">
        <w:rPr>
          <w:lang w:val="ru-RU"/>
        </w:rPr>
        <w:t xml:space="preserve">Злакуса, </w:t>
      </w:r>
      <w:r w:rsidR="003450DD" w:rsidRPr="003E4125">
        <w:rPr>
          <w:lang w:val="ru-RU"/>
        </w:rPr>
        <w:t>који</w:t>
      </w:r>
      <w:r w:rsidR="003450DD" w:rsidRPr="003E4125">
        <w:t xml:space="preserve"> </w:t>
      </w:r>
      <w:r w:rsidR="003450DD" w:rsidRPr="003E4125">
        <w:rPr>
          <w:w w:val="103"/>
          <w:lang w:val="sr-Cyrl-CS"/>
        </w:rPr>
        <w:t>обухватају</w:t>
      </w:r>
      <w:r w:rsidR="003450DD">
        <w:rPr>
          <w:w w:val="103"/>
          <w:lang w:val="sr-Cyrl-CS"/>
        </w:rPr>
        <w:t xml:space="preserve"> машински ископ постојећег асфалта и тампона, набавку ,транспорт и уградњу камане јаловине, израду постељице, набавку, транспорт и уградњу дробљеног каменог агрегата,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3450DD" w:rsidP="003450DD">
      <w:pPr>
        <w:tabs>
          <w:tab w:val="left" w:pos="0"/>
        </w:tabs>
        <w:spacing w:after="120"/>
        <w:ind w:left="284"/>
        <w:jc w:val="both"/>
      </w:pPr>
      <w:r>
        <w:rPr>
          <w:b/>
        </w:rPr>
        <w:t>А) Реконструкција дела пута од куће П.Зечевића ка кући П.Шуњеварића (око 110м)</w:t>
      </w:r>
      <w:r w:rsidRPr="0072753D">
        <w:t>, вредност уговорених радова износ</w:t>
      </w:r>
      <w:r>
        <w:t>и _____________ динара без пдв-а,</w:t>
      </w:r>
      <w:r w:rsidRPr="0072753D">
        <w:t xml:space="preserve"> односно ___________</w:t>
      </w:r>
      <w:r>
        <w:t>_____ динара</w:t>
      </w:r>
      <w:r w:rsidRPr="0072753D">
        <w:t xml:space="preserve"> са пдв-ом.</w:t>
      </w:r>
    </w:p>
    <w:p w:rsidR="003450DD" w:rsidRPr="00380E7F" w:rsidRDefault="003450DD" w:rsidP="003450DD">
      <w:pPr>
        <w:tabs>
          <w:tab w:val="left" w:pos="284"/>
        </w:tabs>
        <w:spacing w:after="120"/>
        <w:ind w:left="284"/>
        <w:jc w:val="both"/>
      </w:pPr>
      <w:r>
        <w:rPr>
          <w:b/>
        </w:rPr>
        <w:t>Б) Део пута Јавор ка кући Петка Терзића (л≈90м)</w:t>
      </w:r>
      <w:r w:rsidRPr="0072753D">
        <w:t>, 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p>
    <w:p w:rsidR="003450DD" w:rsidRPr="00830505" w:rsidRDefault="003450DD" w:rsidP="003450DD">
      <w:pPr>
        <w:spacing w:after="120"/>
        <w:ind w:left="284"/>
        <w:jc w:val="both"/>
      </w:pPr>
      <w:r>
        <w:rPr>
          <w:b/>
        </w:rPr>
        <w:t>В) Део пута раскршће Ливадак-Спасојевићи (око 140м)</w:t>
      </w:r>
      <w:r w:rsidRPr="0072753D">
        <w:t>,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lastRenderedPageBreak/>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845A7D" w:rsidRDefault="00845A7D"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510" w:type="dxa"/>
        <w:tblInd w:w="96" w:type="dxa"/>
        <w:tblLook w:val="04A0"/>
      </w:tblPr>
      <w:tblGrid>
        <w:gridCol w:w="832"/>
        <w:gridCol w:w="3574"/>
        <w:gridCol w:w="1167"/>
        <w:gridCol w:w="1182"/>
        <w:gridCol w:w="1337"/>
        <w:gridCol w:w="1418"/>
      </w:tblGrid>
      <w:tr w:rsidR="00845A7D" w:rsidRPr="00845A7D" w:rsidTr="00845A7D">
        <w:trPr>
          <w:trHeight w:val="40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32"/>
                <w:szCs w:val="32"/>
              </w:rPr>
            </w:pPr>
            <w:r w:rsidRPr="00845A7D">
              <w:rPr>
                <w:rFonts w:ascii="Arial" w:hAnsi="Arial" w:cs="Arial"/>
                <w:b/>
                <w:bCs/>
                <w:color w:val="1D1B11"/>
                <w:sz w:val="32"/>
                <w:szCs w:val="32"/>
              </w:rPr>
              <w:t xml:space="preserve">МЗ Злакуса </w:t>
            </w:r>
          </w:p>
        </w:tc>
      </w:tr>
      <w:tr w:rsidR="00845A7D" w:rsidRPr="00845A7D" w:rsidTr="00845A7D">
        <w:trPr>
          <w:trHeight w:val="5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15BF9">
            <w:pPr>
              <w:rPr>
                <w:rFonts w:ascii="Arial" w:hAnsi="Arial" w:cs="Arial"/>
                <w:b/>
                <w:bCs/>
                <w:color w:val="1D1B11"/>
                <w:sz w:val="20"/>
                <w:szCs w:val="20"/>
              </w:rPr>
            </w:pPr>
            <w:r>
              <w:rPr>
                <w:rFonts w:ascii="Arial" w:hAnsi="Arial" w:cs="Arial"/>
                <w:b/>
                <w:bCs/>
                <w:color w:val="1D1B11"/>
                <w:sz w:val="20"/>
                <w:szCs w:val="20"/>
              </w:rPr>
              <w:t xml:space="preserve"> П</w:t>
            </w:r>
            <w:r w:rsidRPr="00845A7D">
              <w:rPr>
                <w:rFonts w:ascii="Arial" w:hAnsi="Arial" w:cs="Arial"/>
                <w:b/>
                <w:bCs/>
                <w:color w:val="1D1B11"/>
                <w:sz w:val="20"/>
                <w:szCs w:val="20"/>
              </w:rPr>
              <w:t>утна инфраструктура</w:t>
            </w:r>
          </w:p>
        </w:tc>
        <w:tc>
          <w:tcPr>
            <w:tcW w:w="1167"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31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А. Реконструкција дела пута од куће П.Зечевића ка кући П.Шуњеварића</w:t>
            </w:r>
            <w:r>
              <w:rPr>
                <w:rFonts w:ascii="Arial" w:hAnsi="Arial" w:cs="Arial"/>
                <w:b/>
                <w:bCs/>
                <w:color w:val="1D1B11"/>
                <w:sz w:val="20"/>
                <w:szCs w:val="20"/>
              </w:rPr>
              <w:t xml:space="preserve"> </w:t>
            </w:r>
            <w:r w:rsidRPr="00845A7D">
              <w:rPr>
                <w:rFonts w:ascii="Arial" w:hAnsi="Arial" w:cs="Arial"/>
                <w:b/>
                <w:bCs/>
                <w:color w:val="1D1B11"/>
                <w:sz w:val="20"/>
                <w:szCs w:val="20"/>
              </w:rPr>
              <w:t>(око 110м)</w:t>
            </w: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p>
        </w:tc>
        <w:tc>
          <w:tcPr>
            <w:tcW w:w="116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66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Редни број</w:t>
            </w:r>
          </w:p>
        </w:tc>
        <w:tc>
          <w:tcPr>
            <w:tcW w:w="3574"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Количина</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Цена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Износ</w:t>
            </w:r>
          </w:p>
        </w:tc>
      </w:tr>
      <w:tr w:rsidR="00845A7D" w:rsidRPr="00845A7D" w:rsidTr="00845A7D">
        <w:trPr>
          <w:trHeight w:val="226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1</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Машински ископ постојећег асфалта и тампона и земље III категорије са утоваром и превозом до најближе депоније , са кипањем и грубим планирањем материјала(ради планирања нивелете -у широком откопу, дубина ископа до 30 цм.)</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90,00</w:t>
            </w:r>
          </w:p>
        </w:tc>
        <w:tc>
          <w:tcPr>
            <w:tcW w:w="1337" w:type="dxa"/>
            <w:tcBorders>
              <w:top w:val="nil"/>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63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2</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Набавка, транспорт и уградња каменог шута ( крупне фракције око ø 20 цм.)     ради стабилизације  постељице  на делу пута    (обрачуната к</w:t>
            </w:r>
            <w:r w:rsidR="00815BF9">
              <w:rPr>
                <w:rFonts w:ascii="Arial" w:hAnsi="Arial" w:cs="Arial"/>
                <w:color w:val="1D1B11"/>
                <w:sz w:val="20"/>
                <w:szCs w:val="20"/>
              </w:rPr>
              <w:t xml:space="preserve">оличина у уграђеном стању)   </w:t>
            </w:r>
            <w:r w:rsidRPr="00845A7D">
              <w:rPr>
                <w:rFonts w:ascii="Arial" w:hAnsi="Arial" w:cs="Arial"/>
                <w:color w:val="1D1B11"/>
                <w:sz w:val="20"/>
                <w:szCs w:val="20"/>
              </w:rPr>
              <w:t xml:space="preserve">                                                                       </w:t>
            </w:r>
            <w:r w:rsidR="00815BF9">
              <w:rPr>
                <w:rFonts w:ascii="Arial" w:hAnsi="Arial" w:cs="Arial"/>
                <w:color w:val="1D1B11"/>
                <w:sz w:val="20"/>
                <w:szCs w:val="20"/>
              </w:rPr>
              <w:t xml:space="preserve">                        </w:t>
            </w:r>
            <w:r w:rsidRPr="00845A7D">
              <w:rPr>
                <w:rFonts w:ascii="Arial" w:hAnsi="Arial" w:cs="Arial"/>
                <w:color w:val="1D1B11"/>
                <w:sz w:val="20"/>
                <w:szCs w:val="20"/>
              </w:rP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30,00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87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3</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Израда постељице местимично на</w:t>
            </w:r>
            <w:r w:rsidRPr="00845A7D">
              <w:rPr>
                <w:rFonts w:ascii="Arial" w:hAnsi="Arial" w:cs="Arial"/>
                <w:color w:val="1D1B11"/>
                <w:sz w:val="20"/>
                <w:szCs w:val="20"/>
              </w:rPr>
              <w:br/>
              <w:t>oштећеним деловима пута</w:t>
            </w:r>
            <w:r w:rsidRPr="00845A7D">
              <w:rPr>
                <w:rFonts w:ascii="Arial" w:hAnsi="Arial" w:cs="Arial"/>
                <w:color w:val="1D1B11"/>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420,00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7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4</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Набавка, транспорт и уградња</w:t>
            </w:r>
            <w:r w:rsidRPr="00845A7D">
              <w:rPr>
                <w:rFonts w:ascii="Arial" w:hAnsi="Arial" w:cs="Arial"/>
                <w:color w:val="1D1B11"/>
                <w:sz w:val="20"/>
                <w:szCs w:val="20"/>
              </w:rPr>
              <w:br/>
              <w:t xml:space="preserve">дробљеног каменог агрегата                                                                                                        </w:t>
            </w:r>
            <w:r w:rsidRPr="00845A7D">
              <w:rPr>
                <w:rFonts w:ascii="Arial" w:hAnsi="Arial" w:cs="Arial"/>
                <w:color w:val="1D1B11"/>
                <w:sz w:val="20"/>
                <w:szCs w:val="20"/>
              </w:rPr>
              <w:br/>
              <w:t xml:space="preserve">фракције 0/60мм у тампонски слој                                                                                   </w:t>
            </w:r>
            <w:r w:rsidRPr="00845A7D">
              <w:rPr>
                <w:rFonts w:ascii="Arial" w:hAnsi="Arial" w:cs="Arial"/>
                <w:color w:val="1D1B11"/>
                <w:sz w:val="20"/>
                <w:szCs w:val="20"/>
              </w:rPr>
              <w:br/>
              <w:t>просечне дебљине д= 20-25 цм</w:t>
            </w:r>
            <w:r w:rsidRPr="00845A7D">
              <w:rPr>
                <w:rFonts w:ascii="Arial" w:hAnsi="Arial" w:cs="Arial"/>
                <w:color w:val="1D1B11"/>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95,00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1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5</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315,00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375"/>
        </w:trPr>
        <w:tc>
          <w:tcPr>
            <w:tcW w:w="8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Напомена:Све позиције из предмера су обрачунате у збијеном стању.</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390"/>
        </w:trPr>
        <w:tc>
          <w:tcPr>
            <w:tcW w:w="8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15BF9">
            <w:pPr>
              <w:jc w:val="right"/>
              <w:rPr>
                <w:rFonts w:ascii="Arial" w:hAnsi="Arial" w:cs="Arial"/>
                <w:b/>
                <w:bCs/>
                <w:color w:val="1D1B11"/>
                <w:sz w:val="20"/>
                <w:szCs w:val="20"/>
              </w:rPr>
            </w:pPr>
            <w:r w:rsidRPr="00845A7D">
              <w:rPr>
                <w:rFonts w:ascii="Arial" w:hAnsi="Arial" w:cs="Arial"/>
                <w:b/>
                <w:bCs/>
                <w:color w:val="1D1B11"/>
                <w:sz w:val="20"/>
                <w:szCs w:val="20"/>
              </w:rPr>
              <w:t>УКУПНО ( 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09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Обавеза MЗ.- мештана је решавање одводњавања</w:t>
            </w:r>
            <w:r>
              <w:rPr>
                <w:rFonts w:ascii="Arial" w:hAnsi="Arial" w:cs="Arial"/>
                <w:color w:val="1D1B11"/>
                <w:sz w:val="20"/>
                <w:szCs w:val="20"/>
              </w:rPr>
              <w:t xml:space="preserve"> </w:t>
            </w:r>
            <w:r w:rsidRPr="00845A7D">
              <w:rPr>
                <w:rFonts w:ascii="Arial" w:hAnsi="Arial" w:cs="Arial"/>
                <w:color w:val="1D1B11"/>
                <w:sz w:val="20"/>
                <w:szCs w:val="20"/>
              </w:rPr>
              <w:t>(подземно и надземно), издизање и доградња гредица,</w:t>
            </w:r>
            <w:r>
              <w:rPr>
                <w:rFonts w:ascii="Arial" w:hAnsi="Arial" w:cs="Arial"/>
                <w:color w:val="1D1B11"/>
                <w:sz w:val="20"/>
                <w:szCs w:val="20"/>
              </w:rPr>
              <w:t xml:space="preserve"> </w:t>
            </w:r>
            <w:r w:rsidRPr="00845A7D">
              <w:rPr>
                <w:rFonts w:ascii="Arial" w:hAnsi="Arial" w:cs="Arial"/>
                <w:color w:val="1D1B11"/>
                <w:sz w:val="20"/>
                <w:szCs w:val="20"/>
              </w:rPr>
              <w:t>сокли,</w:t>
            </w:r>
            <w:r>
              <w:rPr>
                <w:rFonts w:ascii="Arial" w:hAnsi="Arial" w:cs="Arial"/>
                <w:color w:val="1D1B11"/>
                <w:sz w:val="20"/>
                <w:szCs w:val="20"/>
              </w:rPr>
              <w:t xml:space="preserve"> </w:t>
            </w:r>
            <w:r w:rsidRPr="00845A7D">
              <w:rPr>
                <w:rFonts w:ascii="Arial" w:hAnsi="Arial" w:cs="Arial"/>
                <w:color w:val="1D1B11"/>
                <w:sz w:val="20"/>
                <w:szCs w:val="20"/>
              </w:rPr>
              <w:t>каналица,</w:t>
            </w:r>
            <w:r>
              <w:rPr>
                <w:rFonts w:ascii="Arial" w:hAnsi="Arial" w:cs="Arial"/>
                <w:color w:val="1D1B11"/>
                <w:sz w:val="20"/>
                <w:szCs w:val="20"/>
              </w:rPr>
              <w:t xml:space="preserve"> </w:t>
            </w:r>
            <w:r w:rsidRPr="00845A7D">
              <w:rPr>
                <w:rFonts w:ascii="Arial" w:hAnsi="Arial" w:cs="Arial"/>
                <w:color w:val="1D1B11"/>
                <w:sz w:val="20"/>
                <w:szCs w:val="20"/>
              </w:rPr>
              <w:t>нивелисање ограда,</w:t>
            </w:r>
            <w:r>
              <w:rPr>
                <w:rFonts w:ascii="Arial" w:hAnsi="Arial" w:cs="Arial"/>
                <w:color w:val="1D1B11"/>
                <w:sz w:val="20"/>
                <w:szCs w:val="20"/>
              </w:rPr>
              <w:t xml:space="preserve"> </w:t>
            </w:r>
            <w:r w:rsidRPr="00845A7D">
              <w:rPr>
                <w:rFonts w:ascii="Arial" w:hAnsi="Arial" w:cs="Arial"/>
                <w:color w:val="1D1B11"/>
                <w:sz w:val="20"/>
                <w:szCs w:val="20"/>
              </w:rPr>
              <w:t>капија и улаза у гараже и дворишта, израда пропуста  и обезбеђење имовинско-правних односа.</w:t>
            </w: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6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31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 xml:space="preserve">Б. Део пута Јавор ка кући Петка Терзића </w:t>
            </w:r>
          </w:p>
        </w:tc>
      </w:tr>
      <w:tr w:rsidR="00845A7D" w:rsidRPr="00845A7D" w:rsidTr="00845A7D">
        <w:trPr>
          <w:trHeight w:val="360"/>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л ≈ 90 м. ; ш = 2,5 м асфалт</w:t>
            </w:r>
          </w:p>
        </w:tc>
        <w:tc>
          <w:tcPr>
            <w:tcW w:w="116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p>
        </w:tc>
        <w:tc>
          <w:tcPr>
            <w:tcW w:w="116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66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Редни број</w:t>
            </w:r>
          </w:p>
        </w:tc>
        <w:tc>
          <w:tcPr>
            <w:tcW w:w="3574"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Количина</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Цена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Износ</w:t>
            </w:r>
          </w:p>
        </w:tc>
      </w:tr>
      <w:tr w:rsidR="00845A7D" w:rsidRPr="00845A7D" w:rsidTr="00845A7D">
        <w:trPr>
          <w:trHeight w:val="14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1</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Набавка, транспорт и уградња камене јаловине     ради стабилизације  постељице  на делу пута и израде банкина    (обрачуната кол</w:t>
            </w:r>
            <w:r>
              <w:rPr>
                <w:rFonts w:ascii="Arial" w:hAnsi="Arial" w:cs="Arial"/>
                <w:color w:val="1D1B11"/>
                <w:sz w:val="20"/>
                <w:szCs w:val="20"/>
              </w:rPr>
              <w:t xml:space="preserve">ичина у уграђеном стању)   </w:t>
            </w:r>
            <w:r w:rsidRPr="00845A7D">
              <w:rPr>
                <w:rFonts w:ascii="Arial" w:hAnsi="Arial" w:cs="Arial"/>
                <w:color w:val="1D1B11"/>
                <w:sz w:val="20"/>
                <w:szCs w:val="20"/>
              </w:rPr>
              <w:t xml:space="preserve">                                                              </w:t>
            </w:r>
            <w:r>
              <w:rPr>
                <w:rFonts w:ascii="Arial" w:hAnsi="Arial" w:cs="Arial"/>
                <w:color w:val="1D1B11"/>
                <w:sz w:val="20"/>
                <w:szCs w:val="20"/>
              </w:rPr>
              <w:t xml:space="preserve">                               </w:t>
            </w:r>
            <w:r w:rsidRPr="00845A7D">
              <w:rPr>
                <w:rFonts w:ascii="Arial" w:hAnsi="Arial" w:cs="Arial"/>
                <w:color w:val="1D1B11"/>
                <w:sz w:val="20"/>
                <w:szCs w:val="20"/>
              </w:rP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6,00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2</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Израда постељице местимично на</w:t>
            </w:r>
            <w:r w:rsidRPr="00845A7D">
              <w:rPr>
                <w:rFonts w:ascii="Arial" w:hAnsi="Arial" w:cs="Arial"/>
                <w:color w:val="1D1B11"/>
                <w:sz w:val="20"/>
                <w:szCs w:val="20"/>
              </w:rPr>
              <w:br/>
              <w:t>oштећеним деловима пута</w:t>
            </w:r>
            <w:r w:rsidRPr="00845A7D">
              <w:rPr>
                <w:rFonts w:ascii="Arial" w:hAnsi="Arial" w:cs="Arial"/>
                <w:color w:val="1D1B11"/>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280,00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7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3</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Набавка, транспорт и уградња</w:t>
            </w:r>
            <w:r w:rsidRPr="00845A7D">
              <w:rPr>
                <w:rFonts w:ascii="Arial" w:hAnsi="Arial" w:cs="Arial"/>
                <w:color w:val="1D1B11"/>
                <w:sz w:val="20"/>
                <w:szCs w:val="20"/>
              </w:rPr>
              <w:br/>
              <w:t xml:space="preserve">дробљеног каменог агрегата                                                                                                        </w:t>
            </w:r>
            <w:r w:rsidRPr="00845A7D">
              <w:rPr>
                <w:rFonts w:ascii="Arial" w:hAnsi="Arial" w:cs="Arial"/>
                <w:color w:val="1D1B11"/>
                <w:sz w:val="20"/>
                <w:szCs w:val="20"/>
              </w:rPr>
              <w:br/>
              <w:t xml:space="preserve">фракције 0/60мм у тампонски слој                                                                                   </w:t>
            </w:r>
            <w:r w:rsidRPr="00845A7D">
              <w:rPr>
                <w:rFonts w:ascii="Arial" w:hAnsi="Arial" w:cs="Arial"/>
                <w:color w:val="1D1B11"/>
                <w:sz w:val="20"/>
                <w:szCs w:val="20"/>
              </w:rPr>
              <w:br/>
              <w:t>просечне дебљине д= 20 цм</w:t>
            </w:r>
            <w:r w:rsidRPr="00845A7D">
              <w:rPr>
                <w:rFonts w:ascii="Arial" w:hAnsi="Arial" w:cs="Arial"/>
                <w:color w:val="1D1B11"/>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55,00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25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4</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250,00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375"/>
        </w:trPr>
        <w:tc>
          <w:tcPr>
            <w:tcW w:w="8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Напомена:Све позиције из предмера су обрачунате у збијеном стању.</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630"/>
        </w:trPr>
        <w:tc>
          <w:tcPr>
            <w:tcW w:w="8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A7D" w:rsidRPr="00845A7D" w:rsidRDefault="00845A7D" w:rsidP="00815BF9">
            <w:pPr>
              <w:jc w:val="right"/>
              <w:rPr>
                <w:rFonts w:ascii="Arial" w:hAnsi="Arial" w:cs="Arial"/>
                <w:b/>
                <w:bCs/>
                <w:color w:val="1D1B11"/>
                <w:sz w:val="20"/>
                <w:szCs w:val="20"/>
              </w:rPr>
            </w:pPr>
            <w:r w:rsidRPr="00845A7D">
              <w:rPr>
                <w:rFonts w:ascii="Arial" w:hAnsi="Arial" w:cs="Arial"/>
                <w:b/>
                <w:bCs/>
                <w:color w:val="1D1B11"/>
                <w:sz w:val="20"/>
                <w:szCs w:val="20"/>
              </w:rPr>
              <w:t>УКУПНО ( Б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12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Обавеза MЗ.- мештана је кошење зеленила  у ширини мин.4,50 м., ископ земљаних канала поред пута, раскресивање крошњи стабала поред трасе у ширини мин. 4,50 м., и обезбеђење имовинско-правних односа.</w:t>
            </w: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p>
        </w:tc>
        <w:tc>
          <w:tcPr>
            <w:tcW w:w="3574" w:type="dxa"/>
            <w:tcBorders>
              <w:top w:val="nil"/>
              <w:left w:val="nil"/>
              <w:bottom w:val="nil"/>
              <w:right w:val="nil"/>
            </w:tcBorders>
            <w:shd w:val="clear" w:color="auto" w:fill="auto"/>
            <w:vAlign w:val="bottom"/>
            <w:hideMark/>
          </w:tcPr>
          <w:p w:rsidR="00845A7D" w:rsidRPr="00845A7D" w:rsidRDefault="00845A7D" w:rsidP="00845A7D">
            <w:pPr>
              <w:rPr>
                <w:rFonts w:ascii="Arial" w:hAnsi="Arial" w:cs="Arial"/>
                <w:color w:val="1D1B11"/>
                <w:sz w:val="20"/>
                <w:szCs w:val="20"/>
              </w:rPr>
            </w:pPr>
          </w:p>
        </w:tc>
        <w:tc>
          <w:tcPr>
            <w:tcW w:w="1167" w:type="dxa"/>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sz w:val="20"/>
                <w:szCs w:val="20"/>
              </w:rPr>
            </w:pPr>
          </w:p>
        </w:tc>
        <w:tc>
          <w:tcPr>
            <w:tcW w:w="8678" w:type="dxa"/>
            <w:gridSpan w:val="5"/>
            <w:tcBorders>
              <w:top w:val="nil"/>
              <w:left w:val="nil"/>
              <w:bottom w:val="nil"/>
              <w:right w:val="nil"/>
            </w:tcBorders>
            <w:shd w:val="clear" w:color="auto" w:fill="auto"/>
            <w:hideMark/>
          </w:tcPr>
          <w:p w:rsidR="00845A7D" w:rsidRDefault="00845A7D" w:rsidP="00845A7D">
            <w:pPr>
              <w:rPr>
                <w:rFonts w:ascii="Arial" w:hAnsi="Arial" w:cs="Arial"/>
                <w:sz w:val="20"/>
                <w:szCs w:val="20"/>
              </w:rPr>
            </w:pPr>
          </w:p>
          <w:p w:rsidR="00815BF9" w:rsidRDefault="00815BF9" w:rsidP="00845A7D">
            <w:pPr>
              <w:rPr>
                <w:rFonts w:ascii="Arial" w:hAnsi="Arial" w:cs="Arial"/>
                <w:sz w:val="20"/>
                <w:szCs w:val="20"/>
              </w:rPr>
            </w:pPr>
          </w:p>
          <w:p w:rsidR="00815BF9" w:rsidRPr="00815BF9" w:rsidRDefault="00815BF9" w:rsidP="00845A7D">
            <w:pPr>
              <w:rPr>
                <w:rFonts w:ascii="Arial" w:hAnsi="Arial" w:cs="Arial"/>
                <w:sz w:val="20"/>
                <w:szCs w:val="20"/>
              </w:rPr>
            </w:pP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sz w:val="20"/>
                <w:szCs w:val="20"/>
              </w:rPr>
            </w:pPr>
          </w:p>
        </w:tc>
        <w:tc>
          <w:tcPr>
            <w:tcW w:w="3574" w:type="dxa"/>
            <w:tcBorders>
              <w:top w:val="nil"/>
              <w:left w:val="nil"/>
              <w:bottom w:val="nil"/>
              <w:right w:val="nil"/>
            </w:tcBorders>
            <w:shd w:val="clear" w:color="auto" w:fill="auto"/>
            <w:hideMark/>
          </w:tcPr>
          <w:p w:rsidR="00845A7D" w:rsidRDefault="00845A7D" w:rsidP="00845A7D">
            <w:pPr>
              <w:rPr>
                <w:rFonts w:ascii="Arial" w:hAnsi="Arial" w:cs="Arial"/>
                <w:sz w:val="20"/>
                <w:szCs w:val="20"/>
              </w:rPr>
            </w:pPr>
          </w:p>
          <w:p w:rsidR="00815BF9" w:rsidRPr="00815BF9" w:rsidRDefault="00815BF9" w:rsidP="00845A7D">
            <w:pPr>
              <w:rPr>
                <w:rFonts w:ascii="Arial" w:hAnsi="Arial" w:cs="Arial"/>
                <w:sz w:val="20"/>
                <w:szCs w:val="20"/>
              </w:rPr>
            </w:pPr>
          </w:p>
        </w:tc>
        <w:tc>
          <w:tcPr>
            <w:tcW w:w="1167"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182"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337"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418"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sz w:val="20"/>
                <w:szCs w:val="20"/>
              </w:rPr>
            </w:pPr>
          </w:p>
        </w:tc>
        <w:tc>
          <w:tcPr>
            <w:tcW w:w="3574"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167"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182"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337"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c>
          <w:tcPr>
            <w:tcW w:w="1418" w:type="dxa"/>
            <w:tcBorders>
              <w:top w:val="nil"/>
              <w:left w:val="nil"/>
              <w:bottom w:val="nil"/>
              <w:right w:val="nil"/>
            </w:tcBorders>
            <w:shd w:val="clear" w:color="auto" w:fill="auto"/>
            <w:hideMark/>
          </w:tcPr>
          <w:p w:rsidR="00845A7D" w:rsidRPr="00845A7D" w:rsidRDefault="00845A7D" w:rsidP="00845A7D">
            <w:pPr>
              <w:rPr>
                <w:rFonts w:ascii="Arial" w:hAnsi="Arial" w:cs="Arial"/>
                <w:sz w:val="20"/>
                <w:szCs w:val="20"/>
              </w:rPr>
            </w:pP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В. Део пута раскршће Ливадак -</w:t>
            </w:r>
            <w:r>
              <w:rPr>
                <w:rFonts w:ascii="Arial" w:hAnsi="Arial" w:cs="Arial"/>
                <w:b/>
                <w:bCs/>
                <w:color w:val="1D1B11"/>
                <w:sz w:val="20"/>
                <w:szCs w:val="20"/>
              </w:rPr>
              <w:t xml:space="preserve"> </w:t>
            </w:r>
            <w:r w:rsidRPr="00845A7D">
              <w:rPr>
                <w:rFonts w:ascii="Arial" w:hAnsi="Arial" w:cs="Arial"/>
                <w:b/>
                <w:bCs/>
                <w:color w:val="1D1B11"/>
                <w:sz w:val="20"/>
                <w:szCs w:val="20"/>
              </w:rPr>
              <w:t>Спасојевићи (око 140 м)</w:t>
            </w:r>
          </w:p>
        </w:tc>
      </w:tr>
      <w:tr w:rsidR="00845A7D" w:rsidRPr="00845A7D" w:rsidTr="00845A7D">
        <w:trPr>
          <w:trHeight w:val="25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3574"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b/>
                <w:bCs/>
                <w:color w:val="1D1B11"/>
                <w:sz w:val="20"/>
                <w:szCs w:val="20"/>
              </w:rPr>
            </w:pPr>
          </w:p>
        </w:tc>
        <w:tc>
          <w:tcPr>
            <w:tcW w:w="116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337"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1418"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r>
      <w:tr w:rsidR="00845A7D" w:rsidRPr="00845A7D" w:rsidTr="00845A7D">
        <w:trPr>
          <w:trHeight w:val="51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Редни број</w:t>
            </w:r>
          </w:p>
        </w:tc>
        <w:tc>
          <w:tcPr>
            <w:tcW w:w="3574"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Количина</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Цена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Износ</w:t>
            </w:r>
          </w:p>
        </w:tc>
      </w:tr>
      <w:tr w:rsidR="00845A7D" w:rsidRPr="00845A7D" w:rsidTr="00845A7D">
        <w:trPr>
          <w:trHeight w:val="217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1</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Машински ископ постојећег асфалта и тампона и земље III категорије са утоваром и превозом до најближе депоније , са кипањем и грубим планирањем материјала(ради планирања нивелете -у широком откопу, дубина ископа до 30 цм.)</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80</w:t>
            </w:r>
          </w:p>
        </w:tc>
        <w:tc>
          <w:tcPr>
            <w:tcW w:w="1337" w:type="dxa"/>
            <w:tcBorders>
              <w:top w:val="nil"/>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b/>
                <w:bCs/>
                <w:color w:val="1D1B11"/>
                <w:sz w:val="20"/>
                <w:szCs w:val="20"/>
              </w:rPr>
            </w:pPr>
            <w:r w:rsidRPr="00845A7D">
              <w:rPr>
                <w:rFonts w:ascii="Arial" w:hAnsi="Arial" w:cs="Arial"/>
                <w:b/>
                <w:bCs/>
                <w:color w:val="1D1B11"/>
                <w:sz w:val="20"/>
                <w:szCs w:val="20"/>
              </w:rPr>
              <w:t> </w:t>
            </w:r>
          </w:p>
        </w:tc>
      </w:tr>
      <w:tr w:rsidR="00845A7D" w:rsidRPr="00845A7D" w:rsidTr="00845A7D">
        <w:trPr>
          <w:trHeight w:val="136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2</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845A7D">
              <w:rPr>
                <w:rFonts w:ascii="Arial" w:hAnsi="Arial" w:cs="Arial"/>
                <w:color w:val="1D1B11"/>
                <w:sz w:val="20"/>
                <w:szCs w:val="20"/>
              </w:rPr>
              <w:br/>
              <w:t xml:space="preserve">                                                                                                 </w:t>
            </w:r>
            <w:r w:rsidRPr="00845A7D">
              <w:rPr>
                <w:rFonts w:ascii="Arial" w:hAnsi="Arial" w:cs="Arial"/>
                <w:color w:val="1D1B11"/>
                <w:sz w:val="20"/>
                <w:szCs w:val="20"/>
              </w:rPr>
              <w:b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7,00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2</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Израда постељице местимично на</w:t>
            </w:r>
            <w:r w:rsidRPr="00845A7D">
              <w:rPr>
                <w:rFonts w:ascii="Arial" w:hAnsi="Arial" w:cs="Arial"/>
                <w:color w:val="1D1B11"/>
                <w:sz w:val="20"/>
                <w:szCs w:val="20"/>
              </w:rPr>
              <w:br/>
              <w:t>oштећеним деловима пута</w:t>
            </w:r>
            <w:r w:rsidRPr="00845A7D">
              <w:rPr>
                <w:rFonts w:ascii="Arial" w:hAnsi="Arial" w:cs="Arial"/>
                <w:color w:val="1D1B11"/>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420,00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17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4</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Набавка, транспорт и уградња</w:t>
            </w:r>
            <w:r w:rsidRPr="00845A7D">
              <w:rPr>
                <w:rFonts w:ascii="Arial" w:hAnsi="Arial" w:cs="Arial"/>
                <w:color w:val="1D1B11"/>
                <w:sz w:val="20"/>
                <w:szCs w:val="20"/>
              </w:rPr>
              <w:br/>
              <w:t xml:space="preserve">дробљеног каменог агрегата                                                                                                        </w:t>
            </w:r>
            <w:r w:rsidRPr="00845A7D">
              <w:rPr>
                <w:rFonts w:ascii="Arial" w:hAnsi="Arial" w:cs="Arial"/>
                <w:color w:val="1D1B11"/>
                <w:sz w:val="20"/>
                <w:szCs w:val="20"/>
              </w:rPr>
              <w:br/>
              <w:t xml:space="preserve">фракције 0/60мм у тампонски слој                                                                                   </w:t>
            </w:r>
            <w:r w:rsidRPr="00845A7D">
              <w:rPr>
                <w:rFonts w:ascii="Arial" w:hAnsi="Arial" w:cs="Arial"/>
                <w:color w:val="1D1B11"/>
                <w:sz w:val="20"/>
                <w:szCs w:val="20"/>
              </w:rPr>
              <w:br/>
              <w:t>просечне дебљине д= 20 цм</w:t>
            </w:r>
            <w:r w:rsidRPr="00845A7D">
              <w:rPr>
                <w:rFonts w:ascii="Arial" w:hAnsi="Arial" w:cs="Arial"/>
                <w:color w:val="1D1B11"/>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87,00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5</w:t>
            </w:r>
          </w:p>
        </w:tc>
        <w:tc>
          <w:tcPr>
            <w:tcW w:w="3574" w:type="dxa"/>
            <w:tcBorders>
              <w:top w:val="nil"/>
              <w:left w:val="nil"/>
              <w:bottom w:val="single" w:sz="4" w:space="0" w:color="auto"/>
              <w:right w:val="single" w:sz="4" w:space="0" w:color="auto"/>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16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370,00</w:t>
            </w:r>
          </w:p>
        </w:tc>
        <w:tc>
          <w:tcPr>
            <w:tcW w:w="1337"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255"/>
        </w:trPr>
        <w:tc>
          <w:tcPr>
            <w:tcW w:w="8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A7D" w:rsidRPr="00845A7D" w:rsidRDefault="00845A7D" w:rsidP="00845A7D">
            <w:pPr>
              <w:jc w:val="center"/>
              <w:rPr>
                <w:rFonts w:ascii="Arial" w:hAnsi="Arial" w:cs="Arial"/>
                <w:color w:val="1D1B11"/>
                <w:sz w:val="20"/>
                <w:szCs w:val="20"/>
              </w:rPr>
            </w:pPr>
            <w:r w:rsidRPr="00845A7D">
              <w:rPr>
                <w:rFonts w:ascii="Arial" w:hAnsi="Arial" w:cs="Arial"/>
                <w:color w:val="1D1B11"/>
                <w:sz w:val="20"/>
                <w:szCs w:val="20"/>
              </w:rPr>
              <w:t>Напомена:Све позиције из предмера су обрачунате у збијеном стању.</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600"/>
        </w:trPr>
        <w:tc>
          <w:tcPr>
            <w:tcW w:w="80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A7D" w:rsidRPr="00845A7D" w:rsidRDefault="00845A7D" w:rsidP="00815BF9">
            <w:pPr>
              <w:jc w:val="right"/>
              <w:rPr>
                <w:rFonts w:ascii="Arial" w:hAnsi="Arial" w:cs="Arial"/>
                <w:b/>
                <w:bCs/>
                <w:color w:val="1D1B11"/>
                <w:sz w:val="20"/>
                <w:szCs w:val="20"/>
              </w:rPr>
            </w:pPr>
            <w:r w:rsidRPr="00845A7D">
              <w:rPr>
                <w:rFonts w:ascii="Arial" w:hAnsi="Arial" w:cs="Arial"/>
                <w:b/>
                <w:bCs/>
                <w:color w:val="1D1B11"/>
                <w:sz w:val="20"/>
                <w:szCs w:val="20"/>
              </w:rPr>
              <w:t>УКУПНО ( В ):</w:t>
            </w:r>
          </w:p>
        </w:tc>
        <w:tc>
          <w:tcPr>
            <w:tcW w:w="1418" w:type="dxa"/>
            <w:tcBorders>
              <w:top w:val="nil"/>
              <w:left w:val="nil"/>
              <w:bottom w:val="single" w:sz="4" w:space="0" w:color="auto"/>
              <w:right w:val="single" w:sz="4" w:space="0" w:color="auto"/>
            </w:tcBorders>
            <w:shd w:val="clear" w:color="auto" w:fill="auto"/>
            <w:noWrap/>
            <w:vAlign w:val="bottom"/>
            <w:hideMark/>
          </w:tcPr>
          <w:p w:rsidR="00845A7D" w:rsidRPr="00845A7D" w:rsidRDefault="00845A7D" w:rsidP="00845A7D">
            <w:pPr>
              <w:jc w:val="right"/>
              <w:rPr>
                <w:rFonts w:ascii="Arial" w:hAnsi="Arial" w:cs="Arial"/>
                <w:color w:val="1D1B11"/>
                <w:sz w:val="20"/>
                <w:szCs w:val="20"/>
              </w:rPr>
            </w:pPr>
            <w:r w:rsidRPr="00845A7D">
              <w:rPr>
                <w:rFonts w:ascii="Arial" w:hAnsi="Arial" w:cs="Arial"/>
                <w:color w:val="1D1B11"/>
                <w:sz w:val="20"/>
                <w:szCs w:val="20"/>
              </w:rPr>
              <w:t> </w:t>
            </w:r>
          </w:p>
        </w:tc>
      </w:tr>
      <w:tr w:rsidR="00845A7D" w:rsidRPr="00845A7D" w:rsidTr="00845A7D">
        <w:trPr>
          <w:trHeight w:val="885"/>
        </w:trPr>
        <w:tc>
          <w:tcPr>
            <w:tcW w:w="832" w:type="dxa"/>
            <w:tcBorders>
              <w:top w:val="nil"/>
              <w:left w:val="nil"/>
              <w:bottom w:val="nil"/>
              <w:right w:val="nil"/>
            </w:tcBorders>
            <w:shd w:val="clear" w:color="auto" w:fill="auto"/>
            <w:noWrap/>
            <w:vAlign w:val="bottom"/>
            <w:hideMark/>
          </w:tcPr>
          <w:p w:rsidR="00845A7D" w:rsidRPr="00845A7D" w:rsidRDefault="00845A7D" w:rsidP="00845A7D">
            <w:pPr>
              <w:rPr>
                <w:rFonts w:ascii="Arial" w:hAnsi="Arial" w:cs="Arial"/>
                <w:color w:val="1D1B11"/>
                <w:sz w:val="20"/>
                <w:szCs w:val="20"/>
              </w:rPr>
            </w:pPr>
          </w:p>
        </w:tc>
        <w:tc>
          <w:tcPr>
            <w:tcW w:w="8678" w:type="dxa"/>
            <w:gridSpan w:val="5"/>
            <w:tcBorders>
              <w:top w:val="nil"/>
              <w:left w:val="nil"/>
              <w:bottom w:val="nil"/>
              <w:right w:val="nil"/>
            </w:tcBorders>
            <w:shd w:val="clear" w:color="auto" w:fill="auto"/>
            <w:vAlign w:val="bottom"/>
            <w:hideMark/>
          </w:tcPr>
          <w:p w:rsidR="00845A7D" w:rsidRPr="00845A7D" w:rsidRDefault="00845A7D" w:rsidP="00845A7D">
            <w:pPr>
              <w:rPr>
                <w:rFonts w:ascii="Arial" w:hAnsi="Arial" w:cs="Arial"/>
                <w:color w:val="1D1B11"/>
                <w:sz w:val="20"/>
                <w:szCs w:val="20"/>
              </w:rPr>
            </w:pPr>
            <w:r w:rsidRPr="00845A7D">
              <w:rPr>
                <w:rFonts w:ascii="Arial" w:hAnsi="Arial" w:cs="Arial"/>
                <w:color w:val="1D1B11"/>
                <w:sz w:val="20"/>
                <w:szCs w:val="20"/>
              </w:rPr>
              <w:t>Обавеза MЗ.- мештана је ископ земљаних канала поред пута и обезбеђење имовинско -правних односа.</w:t>
            </w:r>
          </w:p>
        </w:tc>
      </w:tr>
    </w:tbl>
    <w:p w:rsidR="00845A7D" w:rsidRDefault="00845A7D" w:rsidP="00845A7D">
      <w:pPr>
        <w:tabs>
          <w:tab w:val="left" w:pos="90"/>
        </w:tabs>
        <w:suppressAutoHyphens/>
        <w:spacing w:line="100" w:lineRule="atLeast"/>
        <w:ind w:left="90"/>
        <w:jc w:val="center"/>
        <w:rPr>
          <w:rFonts w:eastAsia="Arial Unicode MS"/>
          <w:b/>
          <w:color w:val="000000"/>
          <w:kern w:val="1"/>
          <w:lang w:eastAsia="ar-SA"/>
        </w:rPr>
      </w:pPr>
    </w:p>
    <w:p w:rsidR="00941FDD" w:rsidRPr="00845A7D" w:rsidRDefault="00845A7D" w:rsidP="00845A7D">
      <w:pPr>
        <w:tabs>
          <w:tab w:val="left" w:pos="90"/>
        </w:tabs>
        <w:suppressAutoHyphens/>
        <w:spacing w:line="100" w:lineRule="atLeast"/>
        <w:ind w:left="90"/>
        <w:jc w:val="center"/>
        <w:rPr>
          <w:rFonts w:eastAsia="Arial Unicode MS"/>
          <w:b/>
          <w:color w:val="000000"/>
          <w:kern w:val="1"/>
          <w:lang w:eastAsia="ar-SA"/>
        </w:rPr>
      </w:pPr>
      <w:r w:rsidRPr="00845A7D">
        <w:rPr>
          <w:rFonts w:eastAsia="Arial Unicode MS"/>
          <w:b/>
          <w:color w:val="000000"/>
          <w:kern w:val="1"/>
          <w:lang w:eastAsia="ar-SA"/>
        </w:rPr>
        <w:t>УКУПНО А+Б+В = ________________________ ДИНАРА БЕЗ ПДВ-А</w:t>
      </w: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A3A19">
        <w:rPr>
          <w:rFonts w:eastAsia="Arial Unicode MS"/>
          <w:b/>
          <w:color w:val="000000"/>
          <w:kern w:val="1"/>
          <w:lang w:eastAsia="ar-SA"/>
        </w:rPr>
        <w:t>1</w:t>
      </w:r>
      <w:r w:rsidR="00A77C22">
        <w:rPr>
          <w:rFonts w:eastAsia="Arial Unicode MS"/>
          <w:b/>
          <w:color w:val="000000"/>
          <w:kern w:val="1"/>
          <w:lang w:eastAsia="ar-SA"/>
        </w:rPr>
        <w:t>9</w:t>
      </w:r>
      <w:r w:rsidR="008C11FA">
        <w:rPr>
          <w:rFonts w:eastAsia="Arial Unicode MS"/>
          <w:b/>
          <w:color w:val="000000"/>
          <w:kern w:val="1"/>
          <w:lang w:eastAsia="ar-SA"/>
        </w:rPr>
        <w:t>9</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 Злакуса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8C11FA">
        <w:rPr>
          <w:rFonts w:eastAsia="Arial Unicode MS"/>
          <w:kern w:val="1"/>
          <w:lang w:eastAsia="ar-SA"/>
        </w:rPr>
        <w:t>0</w:t>
      </w:r>
      <w:r w:rsidR="00033B70">
        <w:rPr>
          <w:rFonts w:eastAsia="Arial Unicode MS"/>
          <w:kern w:val="1"/>
          <w:lang w:eastAsia="ar-SA"/>
        </w:rPr>
        <w:t>4</w:t>
      </w:r>
      <w:r w:rsidR="001A2597">
        <w:rPr>
          <w:rFonts w:eastAsia="Arial Unicode MS"/>
          <w:kern w:val="1"/>
          <w:lang w:eastAsia="ar-SA"/>
        </w:rPr>
        <w:t>.0</w:t>
      </w:r>
      <w:r w:rsidR="008C11FA">
        <w:rPr>
          <w:rFonts w:eastAsia="Arial Unicode MS"/>
          <w:kern w:val="1"/>
          <w:lang w:eastAsia="ar-SA"/>
        </w:rPr>
        <w:t>9</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682FCA">
        <w:rPr>
          <w:rFonts w:eastAsia="Arial Unicode MS"/>
          <w:b/>
          <w:color w:val="000000"/>
          <w:kern w:val="1"/>
          <w:lang w:eastAsia="ar-SA"/>
        </w:rPr>
        <w:t>19</w:t>
      </w:r>
      <w:r w:rsidR="008C11FA">
        <w:rPr>
          <w:rFonts w:eastAsia="Arial Unicode MS"/>
          <w:b/>
          <w:color w:val="000000"/>
          <w:kern w:val="1"/>
          <w:lang w:eastAsia="ar-SA"/>
        </w:rPr>
        <w:t>9</w:t>
      </w:r>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 Злакуса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8C11FA">
        <w:rPr>
          <w:rFonts w:eastAsia="Arial Unicode MS"/>
          <w:b/>
          <w:color w:val="000000"/>
          <w:kern w:val="1"/>
          <w:lang w:eastAsia="ar-SA"/>
        </w:rPr>
        <w:t>199/20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 Злакуса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8C11FA">
        <w:rPr>
          <w:rFonts w:eastAsia="Arial Unicode MS"/>
          <w:b/>
          <w:color w:val="000000"/>
          <w:kern w:val="1"/>
          <w:lang w:eastAsia="ar-SA"/>
        </w:rPr>
        <w:t>199/20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 Злакуса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404-19</w:t>
      </w:r>
      <w:r w:rsidR="008C11FA">
        <w:rPr>
          <w:rFonts w:eastAsia="Arial Unicode MS"/>
          <w:color w:val="000000"/>
          <w:kern w:val="1"/>
          <w:lang w:eastAsia="ar-SA"/>
        </w:rPr>
        <w:t>9</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 Злакуса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C0" w:rsidRDefault="008D69C0" w:rsidP="00A54467">
      <w:r>
        <w:separator/>
      </w:r>
    </w:p>
  </w:endnote>
  <w:endnote w:type="continuationSeparator" w:id="0">
    <w:p w:rsidR="008D69C0" w:rsidRDefault="008D69C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A" w:rsidRDefault="00CC0D4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A" w:rsidRPr="00E04EB9" w:rsidRDefault="00CC0D4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0D4A" w:rsidRPr="00E04EB9" w:rsidRDefault="00CC0D4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0D4A" w:rsidRDefault="00CC0D4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A" w:rsidRPr="00E04EB9" w:rsidRDefault="00CC0D4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0D4A" w:rsidRPr="00E04EB9" w:rsidRDefault="00CC0D4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0D4A" w:rsidRPr="00F825D0" w:rsidRDefault="00CC0D4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C0" w:rsidRDefault="008D69C0" w:rsidP="00A54467">
      <w:r>
        <w:separator/>
      </w:r>
    </w:p>
  </w:footnote>
  <w:footnote w:type="continuationSeparator" w:id="0">
    <w:p w:rsidR="008D69C0" w:rsidRDefault="008D69C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C0D4A" w:rsidRDefault="00CC0D4A">
        <w:pPr>
          <w:pStyle w:val="Header"/>
          <w:jc w:val="right"/>
        </w:pPr>
        <w:r>
          <w:t xml:space="preserve">страна </w:t>
        </w:r>
        <w:r w:rsidR="00ED43B6">
          <w:rPr>
            <w:b/>
            <w:bCs/>
          </w:rPr>
          <w:fldChar w:fldCharType="begin"/>
        </w:r>
        <w:r>
          <w:rPr>
            <w:b/>
            <w:bCs/>
          </w:rPr>
          <w:instrText xml:space="preserve"> PAGE </w:instrText>
        </w:r>
        <w:r w:rsidR="00ED43B6">
          <w:rPr>
            <w:b/>
            <w:bCs/>
          </w:rPr>
          <w:fldChar w:fldCharType="separate"/>
        </w:r>
        <w:r w:rsidR="001A0CC9">
          <w:rPr>
            <w:b/>
            <w:bCs/>
            <w:noProof/>
          </w:rPr>
          <w:t>34</w:t>
        </w:r>
        <w:r w:rsidR="00ED43B6">
          <w:rPr>
            <w:b/>
            <w:bCs/>
          </w:rPr>
          <w:fldChar w:fldCharType="end"/>
        </w:r>
        <w:r>
          <w:t xml:space="preserve"> од </w:t>
        </w:r>
        <w:r w:rsidR="00ED43B6">
          <w:rPr>
            <w:b/>
            <w:bCs/>
          </w:rPr>
          <w:fldChar w:fldCharType="begin"/>
        </w:r>
        <w:r>
          <w:rPr>
            <w:b/>
            <w:bCs/>
          </w:rPr>
          <w:instrText xml:space="preserve"> NUMPAGES  </w:instrText>
        </w:r>
        <w:r w:rsidR="00ED43B6">
          <w:rPr>
            <w:b/>
            <w:bCs/>
          </w:rPr>
          <w:fldChar w:fldCharType="separate"/>
        </w:r>
        <w:r w:rsidR="001A0CC9">
          <w:rPr>
            <w:b/>
            <w:bCs/>
            <w:noProof/>
          </w:rPr>
          <w:t>34</w:t>
        </w:r>
        <w:r w:rsidR="00ED43B6">
          <w:rPr>
            <w:b/>
            <w:bCs/>
          </w:rPr>
          <w:fldChar w:fldCharType="end"/>
        </w:r>
      </w:p>
    </w:sdtContent>
  </w:sdt>
  <w:p w:rsidR="00CC0D4A" w:rsidRDefault="00CC0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A" w:rsidRPr="00AA7DBA" w:rsidRDefault="00CC0D4A" w:rsidP="001C3707">
    <w:pPr>
      <w:pStyle w:val="Header"/>
      <w:spacing w:line="360" w:lineRule="auto"/>
      <w:rPr>
        <w:lang w:val="sr-Cyrl-CS"/>
      </w:rPr>
    </w:pPr>
  </w:p>
  <w:p w:rsidR="00CC0D4A" w:rsidRPr="00AA7DBA" w:rsidRDefault="00CC0D4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attachedTemplate r:id="rId1"/>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0CC9"/>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50712A"/>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5434"/>
    <w:rsid w:val="006E6998"/>
    <w:rsid w:val="006F2594"/>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4A58"/>
    <w:rsid w:val="008A10A4"/>
    <w:rsid w:val="008A1EFC"/>
    <w:rsid w:val="008A4DBE"/>
    <w:rsid w:val="008C11FA"/>
    <w:rsid w:val="008C2283"/>
    <w:rsid w:val="008C2445"/>
    <w:rsid w:val="008C72CF"/>
    <w:rsid w:val="008C7F98"/>
    <w:rsid w:val="008D03D6"/>
    <w:rsid w:val="008D69C0"/>
    <w:rsid w:val="008D6F71"/>
    <w:rsid w:val="008F45C9"/>
    <w:rsid w:val="008F65F9"/>
    <w:rsid w:val="008F73A1"/>
    <w:rsid w:val="00901D3C"/>
    <w:rsid w:val="009026D3"/>
    <w:rsid w:val="00912930"/>
    <w:rsid w:val="00915A82"/>
    <w:rsid w:val="00917504"/>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D43B6"/>
    <w:rsid w:val="00ED5E2D"/>
    <w:rsid w:val="00EE46B9"/>
    <w:rsid w:val="00EE7DC2"/>
    <w:rsid w:val="00EF0493"/>
    <w:rsid w:val="00EF7194"/>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EC2F-787C-4050-A747-BE528265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8785</Words>
  <Characters>50080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2020-08-28T10:17:00Z</cp:lastPrinted>
  <dcterms:created xsi:type="dcterms:W3CDTF">2020-08-28T10:32:00Z</dcterms:created>
  <dcterms:modified xsi:type="dcterms:W3CDTF">2020-08-28T10:32:00Z</dcterms:modified>
</cp:coreProperties>
</file>